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B9DFB" w14:textId="3178A970" w:rsidR="00343C0B" w:rsidRPr="002655CF" w:rsidRDefault="00C97B50" w:rsidP="002655CF">
      <w:pPr>
        <w:pStyle w:val="Titre"/>
      </w:pPr>
      <w:r w:rsidRPr="002655CF">
        <w:t>Cohésion et diversité dans une société démocratique</w:t>
      </w:r>
    </w:p>
    <w:p w14:paraId="0A58771C" w14:textId="7D08F58A" w:rsidR="00343C0B" w:rsidRPr="002655CF" w:rsidRDefault="007A3697" w:rsidP="002655CF">
      <w:pPr>
        <w:pStyle w:val="Sous-titre"/>
      </w:pPr>
      <w:r w:rsidRPr="002655CF">
        <w:t>Annexe</w:t>
      </w:r>
      <w:r w:rsidR="00343C0B" w:rsidRPr="002655CF">
        <w:t xml:space="preserve"> documentaire pour la classe de </w:t>
      </w:r>
      <w:r w:rsidR="00C97B50" w:rsidRPr="002655CF">
        <w:t>1re générale ou technologique</w:t>
      </w:r>
    </w:p>
    <w:p w14:paraId="05ABEEED" w14:textId="3D6D3328" w:rsidR="00343C0B" w:rsidRDefault="00C97B50">
      <w:r w:rsidRPr="00C97B50">
        <w:t xml:space="preserve">Le fichier suivant met à disposition des documents proposés dans les pistes pédagogiques du livret d’accompagnement de la classe de </w:t>
      </w:r>
      <w:r w:rsidR="000133F3">
        <w:t>1</w:t>
      </w:r>
      <w:r w:rsidR="000133F3" w:rsidRPr="000133F3">
        <w:rPr>
          <w:vertAlign w:val="superscript"/>
        </w:rPr>
        <w:t>re</w:t>
      </w:r>
      <w:r w:rsidRPr="00C97B50">
        <w:t xml:space="preserve"> générale et technologique.</w:t>
      </w:r>
    </w:p>
    <w:p w14:paraId="61FD9571" w14:textId="77777777" w:rsidR="00C97B50" w:rsidRDefault="00C97B50" w:rsidP="002655CF">
      <w:pPr>
        <w:pStyle w:val="Titre1"/>
      </w:pPr>
      <w:bookmarkStart w:id="0" w:name="_Toc210375357"/>
      <w:r w:rsidRPr="002655CF">
        <w:t>Les valeurs et les principes de la République à l’épreuve de la cohésion sociale [9 heures]</w:t>
      </w:r>
      <w:bookmarkEnd w:id="0"/>
    </w:p>
    <w:p w14:paraId="1A4B8BB9" w14:textId="77777777" w:rsidR="002655CF" w:rsidRPr="002655CF" w:rsidRDefault="002655CF" w:rsidP="002655CF"/>
    <w:p w14:paraId="6BE5688E" w14:textId="77777777" w:rsidR="00C97B50" w:rsidRPr="002655CF" w:rsidRDefault="00C97B50" w:rsidP="002655CF">
      <w:pPr>
        <w:pStyle w:val="Titre2"/>
      </w:pPr>
      <w:bookmarkStart w:id="1" w:name="_Toc210375362"/>
      <w:r w:rsidRPr="002655CF">
        <w:t>Proposition d’activité : lutter contre la pauvreté au nom de la solidarité et de la fraternité</w:t>
      </w:r>
      <w:bookmarkEnd w:id="1"/>
    </w:p>
    <w:p w14:paraId="7A9BFD2E" w14:textId="0CF165FC" w:rsidR="00C97B50" w:rsidRDefault="00C97B50">
      <w:pPr>
        <w:rPr>
          <w:szCs w:val="20"/>
        </w:rPr>
      </w:pPr>
      <w:r>
        <w:rPr>
          <w:szCs w:val="20"/>
        </w:rPr>
        <w:t>J</w:t>
      </w:r>
      <w:r w:rsidRPr="00450711">
        <w:rPr>
          <w:szCs w:val="20"/>
        </w:rPr>
        <w:t>ouer le rôle d</w:t>
      </w:r>
      <w:r>
        <w:rPr>
          <w:szCs w:val="20"/>
        </w:rPr>
        <w:t>’</w:t>
      </w:r>
      <w:r w:rsidRPr="00450711">
        <w:rPr>
          <w:szCs w:val="20"/>
        </w:rPr>
        <w:t>une équipe investie dans la mise en place du Pacte pour la réussite de la Sambre-Avesnois-Thiérache</w:t>
      </w:r>
      <w:r>
        <w:rPr>
          <w:szCs w:val="20"/>
        </w:rPr>
        <w:t>.</w:t>
      </w:r>
    </w:p>
    <w:p w14:paraId="2DA1CE05" w14:textId="77777777" w:rsidR="00891A98" w:rsidRDefault="00891A98">
      <w:pPr>
        <w:rPr>
          <w:rFonts w:ascii="Marianne" w:hAnsi="Marianne"/>
          <w:b/>
          <w:color w:val="2D1F90"/>
        </w:rPr>
      </w:pPr>
      <w:r>
        <w:br w:type="page"/>
      </w:r>
    </w:p>
    <w:p w14:paraId="1EC732C0" w14:textId="170B755A" w:rsidR="00C97B50" w:rsidRPr="00891A98" w:rsidRDefault="00C97B50" w:rsidP="00891A98">
      <w:pPr>
        <w:pStyle w:val="Encadrdocumenttitre"/>
      </w:pPr>
      <w:r w:rsidRPr="00891A98">
        <w:lastRenderedPageBreak/>
        <w:t>Dossier documentaire</w:t>
      </w:r>
    </w:p>
    <w:p w14:paraId="2AF967E6" w14:textId="41D5D1E3" w:rsidR="00C97B50" w:rsidRPr="00891A98" w:rsidRDefault="00C97B50" w:rsidP="00891A98">
      <w:pPr>
        <w:pStyle w:val="Encadrdocument"/>
        <w:rPr>
          <w:b/>
          <w:bCs w:val="0"/>
        </w:rPr>
      </w:pPr>
      <w:r w:rsidRPr="00891A98">
        <w:rPr>
          <w:b/>
          <w:bCs w:val="0"/>
        </w:rPr>
        <w:t>Document</w:t>
      </w:r>
      <w:r w:rsidR="007B68FF">
        <w:rPr>
          <w:b/>
          <w:bCs w:val="0"/>
        </w:rPr>
        <w:t> </w:t>
      </w:r>
      <w:r w:rsidRPr="00891A98">
        <w:rPr>
          <w:b/>
          <w:bCs w:val="0"/>
        </w:rPr>
        <w:t>1 : présentation du Conseil économique, social et environnemental (CESE)</w:t>
      </w:r>
    </w:p>
    <w:p w14:paraId="3D139C53" w14:textId="77777777" w:rsidR="00C97B50" w:rsidRDefault="00C97B50" w:rsidP="00891A98">
      <w:pPr>
        <w:pStyle w:val="Encadrdocument"/>
        <w:rPr>
          <w:rFonts w:ascii="Marianne" w:hAnsi="Marianne"/>
          <w:szCs w:val="18"/>
        </w:rPr>
      </w:pPr>
      <w:r>
        <w:t>Page de présentation sur le site du CESE : « </w:t>
      </w:r>
      <w:hyperlink r:id="rId8" w:history="1">
        <w:r w:rsidRPr="00A312FA">
          <w:rPr>
            <w:rStyle w:val="Lienhypertexte"/>
          </w:rPr>
          <w:t>Qu’est-ce que le CESE ?</w:t>
        </w:r>
        <w:r w:rsidRPr="00B116C7">
          <w:t> </w:t>
        </w:r>
      </w:hyperlink>
      <w:r>
        <w:t>»</w:t>
      </w:r>
      <w:r w:rsidDel="00A312FA">
        <w:t xml:space="preserve"> </w:t>
      </w:r>
    </w:p>
    <w:p w14:paraId="070BFFF9" w14:textId="69C5D214" w:rsidR="00C97B50" w:rsidRDefault="00C97B50" w:rsidP="00891A98">
      <w:pPr>
        <w:pStyle w:val="Encadrdocument"/>
        <w:spacing w:before="120"/>
        <w:rPr>
          <w:b/>
          <w:bCs w:val="0"/>
        </w:rPr>
      </w:pPr>
      <w:r w:rsidRPr="00891A98">
        <w:rPr>
          <w:b/>
          <w:bCs w:val="0"/>
        </w:rPr>
        <w:t>Document</w:t>
      </w:r>
      <w:r w:rsidR="007B68FF">
        <w:rPr>
          <w:b/>
          <w:bCs w:val="0"/>
        </w:rPr>
        <w:t> </w:t>
      </w:r>
      <w:r w:rsidRPr="00891A98">
        <w:rPr>
          <w:b/>
          <w:bCs w:val="0"/>
        </w:rPr>
        <w:t>2 : le territoire concerné par le Pacte pour la réussite de la Sambre-Avesnois-Thiérache</w:t>
      </w:r>
    </w:p>
    <w:p w14:paraId="5E9DEE7F" w14:textId="532245A5" w:rsidR="00891A98" w:rsidRPr="00891A98" w:rsidRDefault="00891A98" w:rsidP="00891A98">
      <w:pPr>
        <w:pStyle w:val="Encadrdocument"/>
        <w:spacing w:before="120"/>
        <w:jc w:val="center"/>
        <w:rPr>
          <w:b/>
          <w:bCs w:val="0"/>
        </w:rPr>
      </w:pPr>
      <w:r>
        <w:rPr>
          <w:noProof/>
          <w:lang w:eastAsia="fr-FR"/>
        </w:rPr>
        <w:drawing>
          <wp:inline distT="0" distB="0" distL="0" distR="0" wp14:anchorId="27A00A2E" wp14:editId="41B35918">
            <wp:extent cx="2431828" cy="2893695"/>
            <wp:effectExtent l="0" t="0" r="0" b="1905"/>
            <wp:docPr id="1841399790" name="Image 1" descr="Une image contenant texte, carte, diagramme, at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06543" name="Image 1" descr="Une image contenant texte, carte, diagramme, atlas&#10;&#10;Le contenu généré par l’IA peut êtr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5398" cy="2933640"/>
                    </a:xfrm>
                    <a:prstGeom prst="rect">
                      <a:avLst/>
                    </a:prstGeom>
                    <a:noFill/>
                    <a:ln>
                      <a:noFill/>
                    </a:ln>
                  </pic:spPr>
                </pic:pic>
              </a:graphicData>
            </a:graphic>
          </wp:inline>
        </w:drawing>
      </w:r>
      <w:r w:rsidRPr="007005CB">
        <w:rPr>
          <w:noProof/>
        </w:rPr>
        <w:drawing>
          <wp:inline distT="0" distB="0" distL="0" distR="0" wp14:anchorId="4F01D45F" wp14:editId="143D1A47">
            <wp:extent cx="2048539" cy="2893742"/>
            <wp:effectExtent l="0" t="0" r="0" b="1905"/>
            <wp:docPr id="11325599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59954" name=""/>
                    <pic:cNvPicPr/>
                  </pic:nvPicPr>
                  <pic:blipFill>
                    <a:blip r:embed="rId10"/>
                    <a:stretch>
                      <a:fillRect/>
                    </a:stretch>
                  </pic:blipFill>
                  <pic:spPr>
                    <a:xfrm>
                      <a:off x="0" y="0"/>
                      <a:ext cx="2076735" cy="2933571"/>
                    </a:xfrm>
                    <a:prstGeom prst="rect">
                      <a:avLst/>
                    </a:prstGeom>
                  </pic:spPr>
                </pic:pic>
              </a:graphicData>
            </a:graphic>
          </wp:inline>
        </w:drawing>
      </w:r>
    </w:p>
    <w:p w14:paraId="43431B7E" w14:textId="0132FECD" w:rsidR="00C97B50" w:rsidRDefault="00C97B50" w:rsidP="00891A98">
      <w:pPr>
        <w:pStyle w:val="Encadrdocument"/>
      </w:pPr>
      <w:r w:rsidRPr="00891A98">
        <w:t>Sources</w:t>
      </w:r>
      <w:r w:rsidRPr="00450711">
        <w:t xml:space="preserve"> : </w:t>
      </w:r>
      <w:r>
        <w:t>préfecture régionale des Hauts-de-France, « </w:t>
      </w:r>
      <w:hyperlink r:id="rId11" w:history="1">
        <w:r w:rsidRPr="002C5741">
          <w:rPr>
            <w:rStyle w:val="Lienhypertexte"/>
          </w:rPr>
          <w:t>Premier bilan de l</w:t>
        </w:r>
        <w:r w:rsidR="007B68FF">
          <w:rPr>
            <w:rStyle w:val="Lienhypertexte"/>
          </w:rPr>
          <w:t>’</w:t>
        </w:r>
        <w:r w:rsidRPr="002C5741">
          <w:rPr>
            <w:rStyle w:val="Lienhypertexte"/>
          </w:rPr>
          <w:t>acte</w:t>
        </w:r>
        <w:r w:rsidR="007B68FF">
          <w:rPr>
            <w:rStyle w:val="Lienhypertexte"/>
          </w:rPr>
          <w:t> </w:t>
        </w:r>
        <w:r w:rsidRPr="002C5741">
          <w:rPr>
            <w:rStyle w:val="Lienhypertexte"/>
          </w:rPr>
          <w:t>II du Pacte pour la réussite de la Sambre-Avesnois-Thiérache</w:t>
        </w:r>
      </w:hyperlink>
      <w:r w:rsidRPr="00B116C7">
        <w:t> », 7 février 2023</w:t>
      </w:r>
      <w:r>
        <w:t xml:space="preserve"> ; </w:t>
      </w:r>
      <w:hyperlink r:id="rId12" w:history="1">
        <w:r w:rsidRPr="000B62A0">
          <w:rPr>
            <w:rStyle w:val="Lienhypertexte"/>
          </w:rPr>
          <w:t>https://anct-site-prod.s3.fr-par.scw.cloud/2025-02/perimetre_des_territoires_dindustrie_2023-2027_high_0.png</w:t>
        </w:r>
      </w:hyperlink>
      <w:r>
        <w:t>.</w:t>
      </w:r>
    </w:p>
    <w:p w14:paraId="2CDB45E3" w14:textId="620B16FD" w:rsidR="00C97B50" w:rsidRPr="00891A98" w:rsidRDefault="00C97B50" w:rsidP="00891A98">
      <w:pPr>
        <w:pStyle w:val="Encadrdocument"/>
        <w:spacing w:before="120"/>
        <w:rPr>
          <w:b/>
          <w:bCs w:val="0"/>
        </w:rPr>
      </w:pPr>
      <w:r w:rsidRPr="00891A98">
        <w:rPr>
          <w:b/>
          <w:bCs w:val="0"/>
        </w:rPr>
        <w:t>Document</w:t>
      </w:r>
      <w:r w:rsidR="007B68FF">
        <w:rPr>
          <w:b/>
          <w:bCs w:val="0"/>
        </w:rPr>
        <w:t> </w:t>
      </w:r>
      <w:r w:rsidRPr="00891A98">
        <w:rPr>
          <w:b/>
          <w:bCs w:val="0"/>
        </w:rPr>
        <w:t>3 : Morgan Dandois, Line Leroux, « </w:t>
      </w:r>
      <w:hyperlink r:id="rId13" w:history="1">
        <w:r w:rsidRPr="00891A98">
          <w:rPr>
            <w:rStyle w:val="Lienhypertexte"/>
            <w:b/>
            <w:bCs w:val="0"/>
          </w:rPr>
          <w:t>La Sambre-Avesnois-Thiérache</w:t>
        </w:r>
        <w:r w:rsidR="007B68FF">
          <w:rPr>
            <w:rStyle w:val="Lienhypertexte"/>
            <w:b/>
            <w:bCs w:val="0"/>
          </w:rPr>
          <w:t> </w:t>
        </w:r>
        <w:r w:rsidRPr="00891A98">
          <w:rPr>
            <w:rStyle w:val="Lienhypertexte"/>
            <w:b/>
            <w:bCs w:val="0"/>
          </w:rPr>
          <w:t>: un territoire naturel fragile</w:t>
        </w:r>
      </w:hyperlink>
      <w:r w:rsidRPr="00891A98">
        <w:rPr>
          <w:b/>
          <w:bCs w:val="0"/>
        </w:rPr>
        <w:t xml:space="preserve"> », </w:t>
      </w:r>
      <w:r w:rsidRPr="00891A98">
        <w:rPr>
          <w:b/>
          <w:bCs w:val="0"/>
          <w:i/>
          <w:iCs/>
        </w:rPr>
        <w:t>Insee Flash Hauts-de-France</w:t>
      </w:r>
      <w:r w:rsidRPr="00891A98">
        <w:rPr>
          <w:b/>
          <w:bCs w:val="0"/>
        </w:rPr>
        <w:t>, n°</w:t>
      </w:r>
      <w:r w:rsidR="007B68FF">
        <w:rPr>
          <w:b/>
          <w:bCs w:val="0"/>
        </w:rPr>
        <w:t> </w:t>
      </w:r>
      <w:r w:rsidRPr="00891A98">
        <w:rPr>
          <w:b/>
          <w:bCs w:val="0"/>
        </w:rPr>
        <w:t>143, 10 novembre 2022.</w:t>
      </w:r>
    </w:p>
    <w:p w14:paraId="036A14D1" w14:textId="4BC29BC9" w:rsidR="00C97B50" w:rsidRPr="00891A98" w:rsidRDefault="00C97B50" w:rsidP="00891A98">
      <w:pPr>
        <w:pStyle w:val="Encadrdocument"/>
        <w:spacing w:before="120"/>
        <w:rPr>
          <w:b/>
          <w:bCs w:val="0"/>
        </w:rPr>
      </w:pPr>
      <w:r w:rsidRPr="00891A98">
        <w:rPr>
          <w:b/>
          <w:bCs w:val="0"/>
        </w:rPr>
        <w:t>Document</w:t>
      </w:r>
      <w:r w:rsidR="007B68FF">
        <w:rPr>
          <w:b/>
          <w:bCs w:val="0"/>
        </w:rPr>
        <w:t> </w:t>
      </w:r>
      <w:r w:rsidRPr="00891A98">
        <w:rPr>
          <w:b/>
          <w:bCs w:val="0"/>
        </w:rPr>
        <w:t>4 : dossier de presse de présentation de l’acte</w:t>
      </w:r>
      <w:r w:rsidR="007B68FF">
        <w:rPr>
          <w:b/>
          <w:bCs w:val="0"/>
        </w:rPr>
        <w:t> </w:t>
      </w:r>
      <w:r w:rsidRPr="00891A98">
        <w:rPr>
          <w:b/>
          <w:bCs w:val="0"/>
        </w:rPr>
        <w:t>1 du Pacte-SAT</w:t>
      </w:r>
    </w:p>
    <w:p w14:paraId="17AD528C" w14:textId="77777777" w:rsidR="00C97B50" w:rsidRPr="00891A98" w:rsidRDefault="00C97B50" w:rsidP="00891A98">
      <w:pPr>
        <w:pStyle w:val="Encadrdocument"/>
      </w:pPr>
      <w:r w:rsidRPr="00891A98">
        <w:t>Préfecture du Nord, « </w:t>
      </w:r>
      <w:hyperlink r:id="rId14" w:history="1">
        <w:r w:rsidRPr="00891A98">
          <w:rPr>
            <w:rStyle w:val="Lienhypertexte"/>
          </w:rPr>
          <w:t>Le Pacte pour la réussite de la Sambre-Avesnois-Thiérache. Un an d’actions engagées</w:t>
        </w:r>
      </w:hyperlink>
      <w:r w:rsidRPr="00891A98">
        <w:t> », 2019.</w:t>
      </w:r>
    </w:p>
    <w:p w14:paraId="307BB068" w14:textId="7B17B450" w:rsidR="00C97B50" w:rsidRPr="00891A98" w:rsidRDefault="00C97B50" w:rsidP="00891A98">
      <w:pPr>
        <w:pStyle w:val="Encadrdocument"/>
        <w:spacing w:before="120"/>
        <w:rPr>
          <w:b/>
          <w:bCs w:val="0"/>
        </w:rPr>
      </w:pPr>
      <w:r w:rsidRPr="00891A98">
        <w:rPr>
          <w:b/>
          <w:bCs w:val="0"/>
        </w:rPr>
        <w:t>Document</w:t>
      </w:r>
      <w:r w:rsidR="007B68FF">
        <w:rPr>
          <w:b/>
          <w:bCs w:val="0"/>
        </w:rPr>
        <w:t> </w:t>
      </w:r>
      <w:r w:rsidRPr="00891A98">
        <w:rPr>
          <w:b/>
          <w:bCs w:val="0"/>
        </w:rPr>
        <w:t>5 : dossier de presse de présentation de l’acte</w:t>
      </w:r>
      <w:r w:rsidR="007B68FF">
        <w:rPr>
          <w:b/>
          <w:bCs w:val="0"/>
        </w:rPr>
        <w:t> </w:t>
      </w:r>
      <w:r w:rsidRPr="00891A98">
        <w:rPr>
          <w:b/>
          <w:bCs w:val="0"/>
        </w:rPr>
        <w:t>2 du Pacte-SAT</w:t>
      </w:r>
    </w:p>
    <w:p w14:paraId="142B5B6D" w14:textId="2370829E" w:rsidR="00C97B50" w:rsidRPr="00891A98" w:rsidRDefault="00C97B50" w:rsidP="00891A98">
      <w:pPr>
        <w:pStyle w:val="Encadrdocument"/>
        <w:rPr>
          <w:rStyle w:val="Lienhypertexte"/>
        </w:rPr>
      </w:pPr>
      <w:r w:rsidRPr="00891A98">
        <w:t>Préfecture régionale des Hauts-de-France, «</w:t>
      </w:r>
      <w:r w:rsidR="007B68FF">
        <w:t> </w:t>
      </w:r>
      <w:hyperlink r:id="rId15" w:history="1">
        <w:r w:rsidRPr="00891A98">
          <w:rPr>
            <w:rStyle w:val="Lienhypertexte"/>
          </w:rPr>
          <w:t>Un premier bilan de l’acte</w:t>
        </w:r>
        <w:r w:rsidR="007B68FF">
          <w:rPr>
            <w:rStyle w:val="Lienhypertexte"/>
          </w:rPr>
          <w:t> </w:t>
        </w:r>
        <w:r w:rsidRPr="00891A98">
          <w:rPr>
            <w:rStyle w:val="Lienhypertexte"/>
          </w:rPr>
          <w:t>II du Pacte Sambre-Avesnois-Thiérache</w:t>
        </w:r>
      </w:hyperlink>
      <w:r w:rsidR="007B68FF">
        <w:t> </w:t>
      </w:r>
      <w:r w:rsidRPr="00891A98">
        <w:t xml:space="preserve">», 2022. </w:t>
      </w:r>
      <w:r w:rsidRPr="00891A98">
        <w:fldChar w:fldCharType="begin"/>
      </w:r>
      <w:r w:rsidRPr="00891A98">
        <w:instrText xml:space="preserve"> HYPERLINK "https://www.prefectures-regions.gouv.fr/hauts-de-france/irecontenu/telechargement/102890/652987/file/0602-DP-Pacte%20SAT%20VF.pdf" </w:instrText>
      </w:r>
      <w:r w:rsidRPr="00891A98">
        <w:fldChar w:fldCharType="separate"/>
      </w:r>
    </w:p>
    <w:p w14:paraId="04B4D9D7" w14:textId="266884B3" w:rsidR="00C97B50" w:rsidRPr="00891A98" w:rsidRDefault="00C97B50" w:rsidP="00891A98">
      <w:pPr>
        <w:pStyle w:val="Encadrdocument"/>
        <w:spacing w:before="120"/>
        <w:rPr>
          <w:b/>
          <w:bCs w:val="0"/>
        </w:rPr>
      </w:pPr>
      <w:r w:rsidRPr="00891A98">
        <w:rPr>
          <w:b/>
          <w:bCs w:val="0"/>
        </w:rPr>
        <w:fldChar w:fldCharType="end"/>
      </w:r>
      <w:r w:rsidRPr="00891A98">
        <w:rPr>
          <w:b/>
          <w:bCs w:val="0"/>
        </w:rPr>
        <w:t>Document</w:t>
      </w:r>
      <w:r w:rsidR="007B68FF">
        <w:rPr>
          <w:b/>
          <w:bCs w:val="0"/>
        </w:rPr>
        <w:t> </w:t>
      </w:r>
      <w:r w:rsidRPr="00891A98">
        <w:rPr>
          <w:b/>
          <w:bCs w:val="0"/>
        </w:rPr>
        <w:t>6 : « Illettrisme : Mots et Merveilles ouvre un nouveau site à Denain et essaime dans le bassin minier »</w:t>
      </w:r>
    </w:p>
    <w:p w14:paraId="2915C65A" w14:textId="77777777" w:rsidR="00C97B50" w:rsidRPr="00450711" w:rsidRDefault="00C97B50" w:rsidP="00891A98">
      <w:pPr>
        <w:pStyle w:val="Encadrdocument"/>
      </w:pPr>
      <w:r w:rsidRPr="008A37CC">
        <w:t>L’</w:t>
      </w:r>
      <w:r w:rsidRPr="00450711">
        <w:t>association fondée à Aulnoye-Aymeries en 2008 est devenue une référence en matière de lutte contre l’illettrisme dans la région. Après la Sambre-Avesnois, elle se développe dans le Hainaut et bientôt, sur une demande de l’</w:t>
      </w:r>
      <w:r>
        <w:t>É</w:t>
      </w:r>
      <w:r w:rsidRPr="00450711">
        <w:t>tat, dans le bassin minier.</w:t>
      </w:r>
    </w:p>
    <w:p w14:paraId="43673BD8" w14:textId="248A3109" w:rsidR="00C97B50" w:rsidRPr="00450711" w:rsidRDefault="00C97B50" w:rsidP="00891A98">
      <w:pPr>
        <w:pStyle w:val="Encadrdocument"/>
      </w:pPr>
      <w:r w:rsidRPr="00450711">
        <w:t>L’association de lutte contre l’illettrisme, référente dans la région, dressait, vendredi soir, son bilan annuel. Huit sites, 22 salariés, 343 adultes, un bilan</w:t>
      </w:r>
      <w:r w:rsidR="007B68FF">
        <w:t> </w:t>
      </w:r>
      <w:r w:rsidRPr="00450711">
        <w:t xml:space="preserve">2022 en chiffres et en lettres, positif, présenté par Nathalie </w:t>
      </w:r>
      <w:proofErr w:type="spellStart"/>
      <w:r w:rsidRPr="00450711">
        <w:t>Saysset</w:t>
      </w:r>
      <w:proofErr w:type="spellEnd"/>
      <w:r w:rsidRPr="00450711">
        <w:t xml:space="preserve">, présidente du conseil d’administration et Caroll </w:t>
      </w:r>
      <w:proofErr w:type="spellStart"/>
      <w:r w:rsidRPr="00450711">
        <w:t>Weidich</w:t>
      </w:r>
      <w:proofErr w:type="spellEnd"/>
      <w:r w:rsidRPr="00450711">
        <w:t>, directrice, toutes deux fondatrices de l’asso</w:t>
      </w:r>
      <w:r>
        <w:t>ciation</w:t>
      </w:r>
      <w:r w:rsidRPr="00450711">
        <w:t>.</w:t>
      </w:r>
    </w:p>
    <w:p w14:paraId="6A6F9C71" w14:textId="77777777" w:rsidR="00C97B50" w:rsidRPr="00450711" w:rsidRDefault="00C97B50" w:rsidP="00891A98">
      <w:pPr>
        <w:pStyle w:val="Encadrdocument"/>
      </w:pPr>
      <w:r w:rsidRPr="00450711">
        <w:t xml:space="preserve">Quel est le secret de Mots et Merveilles pour garder le cap alors que d’autres structures sont à la peine depuis le Covid ? « Nous sommes en perpétuel mouvement. Nous devons être constamment créatifs. C’est ce qui fait notre force », explique Caroll </w:t>
      </w:r>
      <w:proofErr w:type="spellStart"/>
      <w:r w:rsidRPr="00450711">
        <w:t>Weidich</w:t>
      </w:r>
      <w:proofErr w:type="spellEnd"/>
      <w:r w:rsidRPr="00450711">
        <w:t xml:space="preserve">. </w:t>
      </w:r>
    </w:p>
    <w:p w14:paraId="56D1861F" w14:textId="77777777" w:rsidR="00C97B50" w:rsidRPr="00450711" w:rsidRDefault="00C97B50" w:rsidP="00891A98">
      <w:pPr>
        <w:pStyle w:val="Encadrdocument"/>
      </w:pPr>
      <w:r w:rsidRPr="00450711">
        <w:t>L’agilité de l’association s’est ainsi exprimée lorsque les confinements ont montré toute l’importance de la maîtrise du numérique pour les apprenants. En plus de la lecture et de l’écriture, Mots et Merveilles dispense désormais un module de lutte contre l’illectronisme.</w:t>
      </w:r>
      <w:r>
        <w:t xml:space="preserve"> </w:t>
      </w:r>
      <w:r w:rsidRPr="00450711">
        <w:t>[…]</w:t>
      </w:r>
    </w:p>
    <w:p w14:paraId="3F1342C1" w14:textId="77777777" w:rsidR="00C97B50" w:rsidRPr="00450711" w:rsidRDefault="00C97B50" w:rsidP="00891A98">
      <w:pPr>
        <w:pStyle w:val="Encadrdocument"/>
      </w:pPr>
      <w:r w:rsidRPr="00450711">
        <w:t>Plusieurs points sont ressortis de l’</w:t>
      </w:r>
      <w:r>
        <w:t>assemblée générale (</w:t>
      </w:r>
      <w:r w:rsidRPr="00450711">
        <w:t>AG</w:t>
      </w:r>
      <w:r>
        <w:t>)</w:t>
      </w:r>
      <w:r w:rsidRPr="00450711">
        <w:t>, notamment le soutien renforcé de l’</w:t>
      </w:r>
      <w:r>
        <w:t>É</w:t>
      </w:r>
      <w:r w:rsidRPr="00450711">
        <w:t>tat pour un futur essaimage dans les bassins miniers du Nord et du Pas-de-Calais. En 2022, l’asso</w:t>
      </w:r>
      <w:r>
        <w:t>ciation</w:t>
      </w:r>
      <w:r w:rsidRPr="00450711">
        <w:t>, soutenue ici par l’Agglo</w:t>
      </w:r>
      <w:r>
        <w:t>mération</w:t>
      </w:r>
      <w:r w:rsidRPr="00450711">
        <w:t xml:space="preserve"> de Maubeuge et la C</w:t>
      </w:r>
      <w:r>
        <w:t xml:space="preserve">hambre de </w:t>
      </w:r>
      <w:r w:rsidRPr="00450711">
        <w:t>C</w:t>
      </w:r>
      <w:r>
        <w:t>ommerce</w:t>
      </w:r>
      <w:r w:rsidRPr="00450711">
        <w:t xml:space="preserve"> Sud-Avesnois, a reçu également l’appui de </w:t>
      </w:r>
      <w:r w:rsidRPr="00450711">
        <w:lastRenderedPageBreak/>
        <w:t>l’Agglo</w:t>
      </w:r>
      <w:r>
        <w:t>mération</w:t>
      </w:r>
      <w:r w:rsidRPr="00450711">
        <w:t xml:space="preserve"> de la porte du Hainaut. Après un kiosque à la médiathèque de Saint-Amand, elle va en ouvrir un second, à Denain. Caroll </w:t>
      </w:r>
      <w:proofErr w:type="spellStart"/>
      <w:r w:rsidRPr="00450711">
        <w:t>Weidich</w:t>
      </w:r>
      <w:proofErr w:type="spellEnd"/>
      <w:r w:rsidRPr="00450711">
        <w:t xml:space="preserve"> a rappelé le principe du kiosque : « nous nous installons au cœur des médiathèques, dans un espace qui nous est réservé, dans un esprit de rationalisation. Cela permet aussi aux apprenants de découvrir la médiathèque et réciproquement, aux médiathèques d’accueillir un nouveau public ». </w:t>
      </w:r>
    </w:p>
    <w:p w14:paraId="60F4CABE" w14:textId="77777777" w:rsidR="00C97B50" w:rsidRPr="00450711" w:rsidRDefault="00C97B50" w:rsidP="00891A98">
      <w:pPr>
        <w:pStyle w:val="Encadrdocument"/>
      </w:pPr>
      <w:r w:rsidRPr="00450711">
        <w:t xml:space="preserve">De 2022, on retiendra encore la ducasse de mots, un projet ambitieux sur deux ans, alliant la lecture à la culture populaire, et à la joie d’être ensemble. </w:t>
      </w:r>
    </w:p>
    <w:p w14:paraId="2A12B2B1" w14:textId="77777777" w:rsidR="00C97B50" w:rsidRPr="00450711" w:rsidRDefault="00C97B50" w:rsidP="00891A98">
      <w:pPr>
        <w:pStyle w:val="Encadrdocument"/>
      </w:pPr>
      <w:r w:rsidRPr="00450711">
        <w:t xml:space="preserve">Soutenu par des financeurs publics et privés, il s’est concrétisé par une merveilleuse journée au </w:t>
      </w:r>
      <w:proofErr w:type="spellStart"/>
      <w:r w:rsidRPr="00450711">
        <w:t>Musverre</w:t>
      </w:r>
      <w:proofErr w:type="spellEnd"/>
      <w:r w:rsidRPr="00450711">
        <w:t xml:space="preserve"> l’an dernier […].</w:t>
      </w:r>
    </w:p>
    <w:p w14:paraId="2A5DF7B6" w14:textId="77777777" w:rsidR="00C97B50" w:rsidRPr="00450711" w:rsidRDefault="00C97B50" w:rsidP="00891A98">
      <w:pPr>
        <w:pStyle w:val="Encadrdocument"/>
      </w:pPr>
      <w:r w:rsidRPr="00891A98">
        <w:t>Source</w:t>
      </w:r>
      <w:r w:rsidRPr="00450711">
        <w:t xml:space="preserve"> : « Illettrisme : Mots et Merveilles ouvre un nouveau site à Denain et essaime dans le bassin minier », </w:t>
      </w:r>
      <w:r w:rsidRPr="00450711">
        <w:rPr>
          <w:i/>
        </w:rPr>
        <w:t>La Voix du Nord</w:t>
      </w:r>
      <w:r w:rsidRPr="00450711">
        <w:t xml:space="preserve">, 25 juin 2023. </w:t>
      </w:r>
    </w:p>
    <w:p w14:paraId="54595609" w14:textId="4F1493E1" w:rsidR="00C97B50" w:rsidRPr="00891A98" w:rsidRDefault="00C97B50" w:rsidP="00891A98">
      <w:pPr>
        <w:pStyle w:val="Encadrdocument"/>
        <w:spacing w:before="120"/>
        <w:rPr>
          <w:b/>
          <w:bCs w:val="0"/>
        </w:rPr>
      </w:pPr>
      <w:r w:rsidRPr="00891A98">
        <w:rPr>
          <w:b/>
          <w:bCs w:val="0"/>
        </w:rPr>
        <w:t>Document</w:t>
      </w:r>
      <w:r w:rsidR="007B68FF">
        <w:rPr>
          <w:b/>
          <w:bCs w:val="0"/>
        </w:rPr>
        <w:t> </w:t>
      </w:r>
      <w:r w:rsidRPr="00891A98">
        <w:rPr>
          <w:b/>
          <w:bCs w:val="0"/>
        </w:rPr>
        <w:t>7 : un projet de réhabilitation de logements intégré au Pacte SAT</w:t>
      </w:r>
    </w:p>
    <w:p w14:paraId="02467C80" w14:textId="01AD8A43" w:rsidR="00C97B50" w:rsidRPr="00891A98" w:rsidRDefault="00C97B50" w:rsidP="00891A98">
      <w:pPr>
        <w:pStyle w:val="Encadrdocument"/>
        <w:rPr>
          <w:rStyle w:val="Lienhypertexte"/>
          <w:b/>
          <w:bCs w:val="0"/>
        </w:rPr>
      </w:pPr>
      <w:r>
        <w:t>CDC habitat, « </w:t>
      </w:r>
      <w:hyperlink r:id="rId16" w:history="1">
        <w:r w:rsidRPr="002E43E0">
          <w:rPr>
            <w:rStyle w:val="Lienhypertexte"/>
            <w:bCs w:val="0"/>
          </w:rPr>
          <w:t>CDC Habitat lance la rénovation de 77 logements du Familistère de Guise </w:t>
        </w:r>
      </w:hyperlink>
      <w:r>
        <w:t xml:space="preserve">» (communiqué de presse), 3 octobre 2023. </w:t>
      </w:r>
      <w:r w:rsidRPr="002E43E0">
        <w:t xml:space="preserve"> </w:t>
      </w:r>
      <w:r w:rsidRPr="00891A98">
        <w:rPr>
          <w:b/>
          <w:bCs w:val="0"/>
        </w:rPr>
        <w:fldChar w:fldCharType="begin"/>
      </w:r>
      <w:r w:rsidRPr="00891A98">
        <w:rPr>
          <w:b/>
          <w:bCs w:val="0"/>
        </w:rPr>
        <w:instrText xml:space="preserve"> HYPERLINK "https://groupe-cdc-habitat.com/actualites/cdc-habitat-lance-la-renovation-de-77-logements-du-familistere-de-guise/" </w:instrText>
      </w:r>
      <w:r w:rsidRPr="00891A98">
        <w:rPr>
          <w:b/>
          <w:bCs w:val="0"/>
        </w:rPr>
      </w:r>
      <w:r w:rsidRPr="00891A98">
        <w:rPr>
          <w:b/>
          <w:bCs w:val="0"/>
        </w:rPr>
        <w:fldChar w:fldCharType="separate"/>
      </w:r>
      <w:r w:rsidRPr="00891A98">
        <w:rPr>
          <w:rStyle w:val="Lienhypertexte"/>
          <w:b/>
          <w:bCs w:val="0"/>
        </w:rPr>
        <w:t xml:space="preserve"> </w:t>
      </w:r>
    </w:p>
    <w:p w14:paraId="0A57E73F" w14:textId="5B084301" w:rsidR="00C97B50" w:rsidRPr="00891A98" w:rsidRDefault="00C97B50" w:rsidP="00891A98">
      <w:pPr>
        <w:pStyle w:val="Encadrdocument"/>
        <w:spacing w:before="120"/>
        <w:rPr>
          <w:b/>
          <w:bCs w:val="0"/>
        </w:rPr>
      </w:pPr>
      <w:r w:rsidRPr="00891A98">
        <w:rPr>
          <w:b/>
          <w:bCs w:val="0"/>
        </w:rPr>
        <w:fldChar w:fldCharType="end"/>
      </w:r>
      <w:r w:rsidRPr="00891A98">
        <w:rPr>
          <w:b/>
          <w:bCs w:val="0"/>
        </w:rPr>
        <w:t>Document</w:t>
      </w:r>
      <w:r w:rsidR="007B68FF">
        <w:rPr>
          <w:b/>
          <w:bCs w:val="0"/>
        </w:rPr>
        <w:t> </w:t>
      </w:r>
      <w:r w:rsidRPr="00891A98">
        <w:rPr>
          <w:b/>
          <w:bCs w:val="0"/>
        </w:rPr>
        <w:t xml:space="preserve">8 : présentation de l’école Étincelle </w:t>
      </w:r>
    </w:p>
    <w:p w14:paraId="694F06F8" w14:textId="77777777" w:rsidR="00C97B50" w:rsidRPr="00450711" w:rsidRDefault="00976CA2" w:rsidP="00891A98">
      <w:pPr>
        <w:pStyle w:val="Encadrdocument"/>
      </w:pPr>
      <w:hyperlink r:id="rId17" w:history="1">
        <w:r w:rsidR="00C97B50" w:rsidRPr="002D25B4">
          <w:rPr>
            <w:rStyle w:val="Lienhypertexte"/>
          </w:rPr>
          <w:t>Page d’accueil</w:t>
        </w:r>
      </w:hyperlink>
      <w:r w:rsidR="00C97B50">
        <w:t xml:space="preserve"> du site internet </w:t>
      </w:r>
      <w:r w:rsidR="00C97B50" w:rsidRPr="00B116C7">
        <w:t>d’Étincelle, l’école de production de Thiérache et de la Serre</w:t>
      </w:r>
    </w:p>
    <w:p w14:paraId="6BD3F223" w14:textId="6CD83687" w:rsidR="00C97B50" w:rsidRPr="00891A98" w:rsidRDefault="00C97B50" w:rsidP="00891A98">
      <w:pPr>
        <w:pStyle w:val="Encadrdocument"/>
        <w:spacing w:before="120"/>
        <w:rPr>
          <w:b/>
          <w:bCs w:val="0"/>
        </w:rPr>
      </w:pPr>
      <w:r w:rsidRPr="00891A98">
        <w:rPr>
          <w:b/>
          <w:bCs w:val="0"/>
        </w:rPr>
        <w:t>Document</w:t>
      </w:r>
      <w:r w:rsidR="007B68FF">
        <w:rPr>
          <w:b/>
          <w:bCs w:val="0"/>
        </w:rPr>
        <w:t> </w:t>
      </w:r>
      <w:r w:rsidRPr="00891A98">
        <w:rPr>
          <w:b/>
          <w:bCs w:val="0"/>
        </w:rPr>
        <w:t>9 : présentation du bus itinérant pédagogique en Sambre-Avesnois-Thiérache</w:t>
      </w:r>
    </w:p>
    <w:p w14:paraId="3CFD19B5" w14:textId="77777777" w:rsidR="00C97B50" w:rsidRPr="00450711" w:rsidRDefault="00C97B50" w:rsidP="00891A98">
      <w:pPr>
        <w:pStyle w:val="Encadrdocument"/>
      </w:pPr>
      <w:r>
        <w:t>L’Europe s’engage en France, « </w:t>
      </w:r>
      <w:hyperlink r:id="rId18" w:history="1">
        <w:r w:rsidRPr="00DF1408">
          <w:rPr>
            <w:rStyle w:val="Lienhypertexte"/>
          </w:rPr>
          <w:t>Le bus itinérant pédagogique en Sambre-Avesnois-Thiérache </w:t>
        </w:r>
      </w:hyperlink>
      <w:r>
        <w:t>», sans date.</w:t>
      </w:r>
    </w:p>
    <w:p w14:paraId="4C4E3495" w14:textId="3F891150" w:rsidR="00C97B50" w:rsidRPr="00891A98" w:rsidRDefault="00C97B50" w:rsidP="00891A98">
      <w:pPr>
        <w:pStyle w:val="Encadrdocument"/>
        <w:spacing w:before="120"/>
        <w:rPr>
          <w:b/>
          <w:bCs w:val="0"/>
        </w:rPr>
      </w:pPr>
      <w:r w:rsidRPr="00891A98">
        <w:rPr>
          <w:b/>
          <w:bCs w:val="0"/>
        </w:rPr>
        <w:t>Document</w:t>
      </w:r>
      <w:r w:rsidR="007B68FF">
        <w:rPr>
          <w:b/>
          <w:bCs w:val="0"/>
        </w:rPr>
        <w:t> </w:t>
      </w:r>
      <w:r w:rsidRPr="00891A98">
        <w:rPr>
          <w:b/>
          <w:bCs w:val="0"/>
        </w:rPr>
        <w:t>10 : présentation vidéo du bus itinérant pédagogique en Sambre-Avesnois-Thiérache</w:t>
      </w:r>
    </w:p>
    <w:p w14:paraId="6F440707" w14:textId="30383FC5" w:rsidR="00C97B50" w:rsidRPr="00450711" w:rsidRDefault="007B68FF" w:rsidP="00891A98">
      <w:pPr>
        <w:pStyle w:val="Encadrdocument"/>
      </w:pPr>
      <w:r>
        <w:t>É</w:t>
      </w:r>
      <w:r w:rsidR="00C97B50">
        <w:t>cole de la Deuxième Chance Hainaut Thiérache, « </w:t>
      </w:r>
      <w:hyperlink r:id="rId19" w:history="1">
        <w:r w:rsidR="00C97B50" w:rsidRPr="002E43E0">
          <w:rPr>
            <w:rStyle w:val="Lienhypertexte"/>
          </w:rPr>
          <w:t>Venez découvrir le BIP ! </w:t>
        </w:r>
      </w:hyperlink>
      <w:r w:rsidR="00C97B50">
        <w:t>» (5</w:t>
      </w:r>
      <w:r>
        <w:t> min 54 s</w:t>
      </w:r>
      <w:r w:rsidR="00C97B50">
        <w:t xml:space="preserve">), janvier 2023. </w:t>
      </w:r>
    </w:p>
    <w:p w14:paraId="4F6A5C8E" w14:textId="669A6149" w:rsidR="00C97B50" w:rsidRPr="00891A98" w:rsidRDefault="00C97B50" w:rsidP="00891A98">
      <w:pPr>
        <w:pStyle w:val="Encadrdocument"/>
        <w:spacing w:before="120"/>
        <w:rPr>
          <w:b/>
          <w:bCs w:val="0"/>
        </w:rPr>
      </w:pPr>
      <w:r w:rsidRPr="00891A98">
        <w:rPr>
          <w:b/>
          <w:bCs w:val="0"/>
        </w:rPr>
        <w:t>Document</w:t>
      </w:r>
      <w:r w:rsidR="007B68FF">
        <w:rPr>
          <w:b/>
          <w:bCs w:val="0"/>
        </w:rPr>
        <w:t> </w:t>
      </w:r>
      <w:r w:rsidRPr="00891A98">
        <w:rPr>
          <w:b/>
          <w:bCs w:val="0"/>
        </w:rPr>
        <w:t xml:space="preserve">11 : présentation des camions </w:t>
      </w:r>
      <w:proofErr w:type="gramStart"/>
      <w:r w:rsidRPr="00891A98">
        <w:rPr>
          <w:b/>
          <w:bCs w:val="0"/>
        </w:rPr>
        <w:t>bleus France Services</w:t>
      </w:r>
      <w:proofErr w:type="gramEnd"/>
    </w:p>
    <w:p w14:paraId="3E6D97D7" w14:textId="77777777" w:rsidR="00C97B50" w:rsidRPr="00C23375" w:rsidRDefault="00C97B50" w:rsidP="00891A98">
      <w:pPr>
        <w:pStyle w:val="Encadrdocument"/>
        <w:rPr>
          <w:rFonts w:ascii="Marianne" w:hAnsi="Marianne"/>
          <w:szCs w:val="18"/>
        </w:rPr>
      </w:pPr>
      <w:r>
        <w:t>Nord info, « </w:t>
      </w:r>
      <w:hyperlink r:id="rId20" w:history="1">
        <w:r w:rsidRPr="00DF1408">
          <w:rPr>
            <w:rStyle w:val="Lienhypertexte"/>
          </w:rPr>
          <w:t>Facilitez vos démarches administratives avec le Camion bleu !</w:t>
        </w:r>
        <w:r w:rsidRPr="00B116C7">
          <w:t> </w:t>
        </w:r>
      </w:hyperlink>
      <w:r>
        <w:t>», 18 janvier 2020.</w:t>
      </w:r>
    </w:p>
    <w:p w14:paraId="2FF98409" w14:textId="77777777" w:rsidR="000B2715" w:rsidRDefault="000B2715" w:rsidP="002655CF">
      <w:pPr>
        <w:pStyle w:val="Titre2"/>
      </w:pPr>
      <w:bookmarkStart w:id="2" w:name="_Toc210375372"/>
      <w:r>
        <w:t xml:space="preserve">Proposition de séquence : </w:t>
      </w:r>
      <w:r w:rsidRPr="003F5914">
        <w:t xml:space="preserve">Comment les valeurs et principes de la République </w:t>
      </w:r>
      <w:r>
        <w:t>sont</w:t>
      </w:r>
      <w:r w:rsidRPr="003F5914">
        <w:t>-ils source de cohésion sociale ?</w:t>
      </w:r>
      <w:bookmarkEnd w:id="2"/>
      <w:r>
        <w:t xml:space="preserve"> </w:t>
      </w:r>
    </w:p>
    <w:p w14:paraId="57D81BD4" w14:textId="25A3B456" w:rsidR="00EE4461" w:rsidRPr="00891A98" w:rsidRDefault="00EE4461" w:rsidP="00891A98">
      <w:pPr>
        <w:pStyle w:val="Titre3"/>
      </w:pPr>
      <w:bookmarkStart w:id="3" w:name="_Hlk210399421"/>
      <w:bookmarkStart w:id="4" w:name="_Toc213096404"/>
      <w:r w:rsidRPr="00891A98">
        <w:t>Séance</w:t>
      </w:r>
      <w:r w:rsidR="007B68FF">
        <w:t> </w:t>
      </w:r>
      <w:r w:rsidRPr="00891A98">
        <w:t>3</w:t>
      </w:r>
      <w:r w:rsidR="007B68FF">
        <w:t xml:space="preserve"> </w:t>
      </w:r>
      <w:r w:rsidRPr="00891A98">
        <w:t xml:space="preserve">– La République lutte contre les discriminations, contraires à ses valeurs : mesurer, réprimer, garantir des droits </w:t>
      </w:r>
      <w:bookmarkEnd w:id="3"/>
      <w:bookmarkEnd w:id="4"/>
    </w:p>
    <w:p w14:paraId="63EB6FE6" w14:textId="77777777" w:rsidR="000133F3" w:rsidRPr="00976CA2" w:rsidRDefault="000133F3" w:rsidP="00976CA2">
      <w:pPr>
        <w:pStyle w:val="Titre4"/>
      </w:pPr>
      <w:bookmarkStart w:id="5" w:name="_Hlk210399482"/>
      <w:bookmarkStart w:id="6" w:name="_Hlk203931301"/>
      <w:r w:rsidRPr="00976CA2">
        <w:t>Première partie : Mesurer, ou comment l’État cherche à évaluer l’existence et l’ampleur des discriminations </w:t>
      </w:r>
    </w:p>
    <w:p w14:paraId="3171E69B" w14:textId="186E2028" w:rsidR="000133F3" w:rsidRPr="000133F3" w:rsidRDefault="000133F3" w:rsidP="00976CA2">
      <w:r w:rsidRPr="000133F3">
        <w:t>Le professeur peut commencer par interroger les élèves sur des situations concrètes, afin de les amener à distinguer ce qui pourrait relever d’une discrimination. Cette mise en situation favorise la réactivation de ce qu’ils ont appris en 5e et 4e et suscite la réflexion. Un rappel rapide du cadre légal est ensuite effectué (voir supra Éclairage professeur et encadré sur les discriminations</w:t>
      </w:r>
      <w:r w:rsidRPr="00976CA2">
        <w:rPr>
          <w:rStyle w:val="Appelnotedebasdep"/>
        </w:rPr>
        <w:footnoteReference w:id="1"/>
      </w:r>
      <w:r w:rsidRPr="000133F3">
        <w:t>). La lecture collective des articles</w:t>
      </w:r>
      <w:r w:rsidR="007B68FF">
        <w:t> </w:t>
      </w:r>
      <w:r w:rsidRPr="000133F3">
        <w:t xml:space="preserve">225-1 à 225-3 du </w:t>
      </w:r>
      <w:r w:rsidR="007B68FF">
        <w:t>C</w:t>
      </w:r>
      <w:r w:rsidRPr="000133F3">
        <w:t>ode pénal permet de préciser les trois composantes d’une discrimination</w:t>
      </w:r>
      <w:r w:rsidR="007B68FF">
        <w:t> </w:t>
      </w:r>
      <w:r w:rsidRPr="000133F3">
        <w:t>: un traitement défavorable, lié à un critère défini par la loi, dans un domaine où celle-ci s’applique. Cela conduit à différencier les simples préjugés des discriminations juridiquement établies. Les élèves complètent enfin un tableau préparé par le professeur présentant en colonne de gauche les situations de refus opposés à des personnes</w:t>
      </w:r>
      <w:r w:rsidR="007B68FF">
        <w:t> </w:t>
      </w:r>
      <w:r w:rsidRPr="000133F3">
        <w:t xml:space="preserve">; en </w:t>
      </w:r>
      <w:r w:rsidRPr="000133F3">
        <w:lastRenderedPageBreak/>
        <w:t>colonne centrale</w:t>
      </w:r>
      <w:r w:rsidR="007B68FF">
        <w:t> </w:t>
      </w:r>
      <w:r w:rsidRPr="000133F3">
        <w:t>: le choix des élèves entre «</w:t>
      </w:r>
      <w:r w:rsidR="007B68FF">
        <w:t> </w:t>
      </w:r>
      <w:r w:rsidRPr="000133F3">
        <w:t>discriminatoire</w:t>
      </w:r>
      <w:proofErr w:type="gramStart"/>
      <w:r w:rsidR="007B68FF">
        <w:t> </w:t>
      </w:r>
      <w:r w:rsidRPr="000133F3">
        <w:t>»</w:t>
      </w:r>
      <w:r w:rsidR="007B68FF">
        <w:t>/</w:t>
      </w:r>
      <w:proofErr w:type="gramEnd"/>
      <w:r w:rsidRPr="000133F3">
        <w:t>«</w:t>
      </w:r>
      <w:r w:rsidR="007B68FF">
        <w:t> </w:t>
      </w:r>
      <w:r w:rsidRPr="000133F3">
        <w:t>non discriminatoire</w:t>
      </w:r>
      <w:r w:rsidR="007B68FF">
        <w:t> </w:t>
      </w:r>
      <w:r w:rsidRPr="000133F3">
        <w:t>»</w:t>
      </w:r>
      <w:r w:rsidR="007B68FF">
        <w:t> </w:t>
      </w:r>
      <w:r w:rsidRPr="000133F3">
        <w:t>; en colonne de droite</w:t>
      </w:r>
      <w:r w:rsidR="007B68FF">
        <w:t> </w:t>
      </w:r>
      <w:r w:rsidRPr="000133F3">
        <w:t>: une brève justification du choix opéré.</w:t>
      </w:r>
    </w:p>
    <w:bookmarkEnd w:id="5"/>
    <w:p w14:paraId="0B77941C" w14:textId="77777777" w:rsidR="00EE4461" w:rsidRPr="0048178F" w:rsidRDefault="00EE4461" w:rsidP="00891A98">
      <w:pPr>
        <w:pStyle w:val="Encadrdocumenttitre"/>
      </w:pPr>
      <w:r w:rsidRPr="0048178F">
        <w:t xml:space="preserve">Support documentaire </w:t>
      </w:r>
    </w:p>
    <w:p w14:paraId="05799E56" w14:textId="183FAEF4" w:rsidR="00EE4461" w:rsidRPr="000133F3" w:rsidRDefault="00EE4461" w:rsidP="00891A98">
      <w:pPr>
        <w:pStyle w:val="Encadrdocument"/>
        <w:rPr>
          <w:b/>
        </w:rPr>
      </w:pPr>
      <w:r w:rsidRPr="0048178F">
        <w:t>En complément de l’articles</w:t>
      </w:r>
      <w:r w:rsidR="007B68FF">
        <w:t> </w:t>
      </w:r>
      <w:r w:rsidRPr="0048178F">
        <w:t>225-1 du Code pénal qui définit les comportements discriminatoires et de l’article</w:t>
      </w:r>
      <w:r w:rsidR="007B68FF">
        <w:t> </w:t>
      </w:r>
      <w:r w:rsidRPr="0048178F">
        <w:t>225-2 qui détaille leur pénalisation (cf. supra), on se réfèrera à l’article</w:t>
      </w:r>
      <w:r w:rsidR="007B68FF">
        <w:t> </w:t>
      </w:r>
      <w:r w:rsidRPr="0048178F">
        <w:t>225-3 qui précise les situations faisant exception :</w:t>
      </w:r>
      <w:r w:rsidR="000133F3">
        <w:t xml:space="preserve"> </w:t>
      </w:r>
      <w:hyperlink r:id="rId21" w:history="1">
        <w:r w:rsidR="000133F3" w:rsidRPr="000133F3">
          <w:rPr>
            <w:rStyle w:val="Lienhypertexte"/>
          </w:rPr>
          <w:t>https://www.legifrance.gouv.fr/codes/article_lc/LEGIARTI000043895868</w:t>
        </w:r>
      </w:hyperlink>
    </w:p>
    <w:bookmarkEnd w:id="6"/>
    <w:p w14:paraId="39EBD8B8" w14:textId="77777777" w:rsidR="00EE4461" w:rsidRPr="00891A98" w:rsidRDefault="00EE4461" w:rsidP="00891A98">
      <w:pPr>
        <w:pStyle w:val="Titre5"/>
      </w:pPr>
      <w:r w:rsidRPr="00891A98">
        <w:t>Activité sur les situations discriminatoires</w:t>
      </w:r>
    </w:p>
    <w:p w14:paraId="27E5ED3A" w14:textId="2BB13091" w:rsidR="00EE4461" w:rsidRDefault="007B68FF" w:rsidP="00EE4461">
      <w:r>
        <w:t>É</w:t>
      </w:r>
      <w:r w:rsidR="00EE4461">
        <w:t>tablissez si ces différentes situations relèvent ou non de la discrimination au sens des articles</w:t>
      </w:r>
      <w:r>
        <w:t> </w:t>
      </w:r>
      <w:r w:rsidR="00EE4461">
        <w:t>225-1 à 225-3 du Code pénal, et justifiez.</w:t>
      </w:r>
    </w:p>
    <w:tbl>
      <w:tblPr>
        <w:tblStyle w:val="Grilledutableau"/>
        <w:tblW w:w="5000" w:type="pct"/>
        <w:tblBorders>
          <w:top w:val="single" w:sz="4" w:space="0" w:color="E0DDEE"/>
          <w:left w:val="single" w:sz="4" w:space="0" w:color="E0DDEE"/>
          <w:bottom w:val="single" w:sz="4" w:space="0" w:color="E0DDEE"/>
          <w:right w:val="single" w:sz="4" w:space="0" w:color="E0DDEE"/>
          <w:insideH w:val="single" w:sz="4" w:space="0" w:color="E0DDEE"/>
          <w:insideV w:val="single" w:sz="4" w:space="0" w:color="E0DDEE"/>
        </w:tblBorders>
        <w:tblLook w:val="04A0" w:firstRow="1" w:lastRow="0" w:firstColumn="1" w:lastColumn="0" w:noHBand="0" w:noVBand="1"/>
      </w:tblPr>
      <w:tblGrid>
        <w:gridCol w:w="3210"/>
        <w:gridCol w:w="3209"/>
        <w:gridCol w:w="3209"/>
      </w:tblGrid>
      <w:tr w:rsidR="00EE4461" w:rsidRPr="00123702" w14:paraId="7B0652A2" w14:textId="77777777" w:rsidTr="00123702">
        <w:tc>
          <w:tcPr>
            <w:tcW w:w="2880" w:type="dxa"/>
            <w:shd w:val="clear" w:color="auto" w:fill="E0DDEE"/>
          </w:tcPr>
          <w:p w14:paraId="3ACA9081" w14:textId="77777777" w:rsidR="00EE4461" w:rsidRPr="00123702" w:rsidRDefault="00EE4461" w:rsidP="00C70325">
            <w:pPr>
              <w:rPr>
                <w:b/>
                <w:bCs/>
              </w:rPr>
            </w:pPr>
            <w:r w:rsidRPr="00123702">
              <w:rPr>
                <w:b/>
                <w:bCs/>
              </w:rPr>
              <w:t>Situation</w:t>
            </w:r>
          </w:p>
        </w:tc>
        <w:tc>
          <w:tcPr>
            <w:tcW w:w="2880" w:type="dxa"/>
            <w:shd w:val="clear" w:color="auto" w:fill="E0DDEE"/>
          </w:tcPr>
          <w:p w14:paraId="081674D1" w14:textId="16FB5EA1" w:rsidR="00EE4461" w:rsidRPr="00123702" w:rsidRDefault="00EE4461" w:rsidP="00C70325">
            <w:pPr>
              <w:rPr>
                <w:b/>
                <w:bCs/>
              </w:rPr>
            </w:pPr>
            <w:r w:rsidRPr="00123702">
              <w:rPr>
                <w:b/>
                <w:bCs/>
              </w:rPr>
              <w:t>Discriminatoire</w:t>
            </w:r>
            <w:r w:rsidR="007B68FF">
              <w:rPr>
                <w:b/>
                <w:bCs/>
              </w:rPr>
              <w:t> </w:t>
            </w:r>
            <w:r w:rsidRPr="00123702">
              <w:rPr>
                <w:b/>
                <w:bCs/>
              </w:rPr>
              <w:t>? oui/non</w:t>
            </w:r>
          </w:p>
        </w:tc>
        <w:tc>
          <w:tcPr>
            <w:tcW w:w="2880" w:type="dxa"/>
            <w:shd w:val="clear" w:color="auto" w:fill="E0DDEE"/>
          </w:tcPr>
          <w:p w14:paraId="608C2222" w14:textId="77777777" w:rsidR="00EE4461" w:rsidRPr="00123702" w:rsidRDefault="00EE4461" w:rsidP="00C70325">
            <w:pPr>
              <w:rPr>
                <w:b/>
                <w:bCs/>
              </w:rPr>
            </w:pPr>
            <w:r w:rsidRPr="00123702">
              <w:rPr>
                <w:b/>
                <w:bCs/>
              </w:rPr>
              <w:t>Justification</w:t>
            </w:r>
          </w:p>
        </w:tc>
      </w:tr>
      <w:tr w:rsidR="00EE4461" w14:paraId="09C89397" w14:textId="77777777" w:rsidTr="00123702">
        <w:tc>
          <w:tcPr>
            <w:tcW w:w="2880" w:type="dxa"/>
          </w:tcPr>
          <w:p w14:paraId="3C9CFA5A" w14:textId="77777777" w:rsidR="00EE4461" w:rsidRDefault="00EE4461" w:rsidP="00C70325">
            <w:r>
              <w:t>Refuser l’entrée en boîte de nuit à des personnes d’origine africaine alors que l’on vient de laisser entrer des personnes d’origine européenne</w:t>
            </w:r>
          </w:p>
        </w:tc>
        <w:tc>
          <w:tcPr>
            <w:tcW w:w="2880" w:type="dxa"/>
          </w:tcPr>
          <w:p w14:paraId="6D3D1EF1" w14:textId="77777777" w:rsidR="00EE4461" w:rsidRDefault="00EE4461" w:rsidP="00C70325"/>
        </w:tc>
        <w:tc>
          <w:tcPr>
            <w:tcW w:w="2880" w:type="dxa"/>
          </w:tcPr>
          <w:p w14:paraId="5CD8F1FE" w14:textId="77777777" w:rsidR="00EE4461" w:rsidRDefault="00EE4461" w:rsidP="00C70325"/>
        </w:tc>
      </w:tr>
      <w:tr w:rsidR="00EE4461" w14:paraId="45CCC876" w14:textId="77777777" w:rsidTr="00123702">
        <w:tc>
          <w:tcPr>
            <w:tcW w:w="2880" w:type="dxa"/>
          </w:tcPr>
          <w:p w14:paraId="6ED2B410" w14:textId="77777777" w:rsidR="00EE4461" w:rsidRDefault="00EE4461" w:rsidP="00C70325">
            <w:r>
              <w:t>Refuser l’embauche dans la police à une personne dont le casier judiciaire fait mention de condamnations lourdes</w:t>
            </w:r>
          </w:p>
        </w:tc>
        <w:tc>
          <w:tcPr>
            <w:tcW w:w="2880" w:type="dxa"/>
          </w:tcPr>
          <w:p w14:paraId="2452AA19" w14:textId="77777777" w:rsidR="00EE4461" w:rsidRDefault="00EE4461" w:rsidP="00C70325"/>
        </w:tc>
        <w:tc>
          <w:tcPr>
            <w:tcW w:w="2880" w:type="dxa"/>
          </w:tcPr>
          <w:p w14:paraId="1254444C" w14:textId="77777777" w:rsidR="00EE4461" w:rsidRDefault="00EE4461" w:rsidP="00C70325"/>
        </w:tc>
      </w:tr>
      <w:tr w:rsidR="00EE4461" w14:paraId="17FE83BF" w14:textId="77777777" w:rsidTr="00123702">
        <w:tc>
          <w:tcPr>
            <w:tcW w:w="2880" w:type="dxa"/>
          </w:tcPr>
          <w:p w14:paraId="5C334130" w14:textId="77777777" w:rsidR="00EE4461" w:rsidRDefault="00EE4461" w:rsidP="00C70325">
            <w:r>
              <w:t>Refuser l’accès à un poste de magistrat à une personne qui n’est pas de nationalité française</w:t>
            </w:r>
          </w:p>
        </w:tc>
        <w:tc>
          <w:tcPr>
            <w:tcW w:w="2880" w:type="dxa"/>
          </w:tcPr>
          <w:p w14:paraId="3558C4FA" w14:textId="77777777" w:rsidR="00EE4461" w:rsidRDefault="00EE4461" w:rsidP="00C70325"/>
        </w:tc>
        <w:tc>
          <w:tcPr>
            <w:tcW w:w="2880" w:type="dxa"/>
          </w:tcPr>
          <w:p w14:paraId="29896BEF" w14:textId="77777777" w:rsidR="00EE4461" w:rsidRDefault="00EE4461" w:rsidP="00C70325"/>
        </w:tc>
      </w:tr>
      <w:tr w:rsidR="00EE4461" w14:paraId="0F23A257" w14:textId="77777777" w:rsidTr="00123702">
        <w:tc>
          <w:tcPr>
            <w:tcW w:w="2880" w:type="dxa"/>
          </w:tcPr>
          <w:p w14:paraId="1A10FAA6" w14:textId="71A7D06C" w:rsidR="00EE4461" w:rsidRDefault="00EE4461" w:rsidP="00C70325">
            <w:r>
              <w:t>Refuser de louer un appartement à un couple homosexuel sous prétexte que le propriétaire préfère «</w:t>
            </w:r>
            <w:r w:rsidR="007B68FF">
              <w:t> </w:t>
            </w:r>
            <w:r>
              <w:t>les couples normaux</w:t>
            </w:r>
            <w:r w:rsidR="007B68FF">
              <w:t> </w:t>
            </w:r>
            <w:r>
              <w:t>»</w:t>
            </w:r>
          </w:p>
        </w:tc>
        <w:tc>
          <w:tcPr>
            <w:tcW w:w="2880" w:type="dxa"/>
          </w:tcPr>
          <w:p w14:paraId="186C77FE" w14:textId="77777777" w:rsidR="00EE4461" w:rsidRDefault="00EE4461" w:rsidP="00C70325"/>
        </w:tc>
        <w:tc>
          <w:tcPr>
            <w:tcW w:w="2880" w:type="dxa"/>
          </w:tcPr>
          <w:p w14:paraId="1443FBE8" w14:textId="77777777" w:rsidR="00EE4461" w:rsidRDefault="00EE4461" w:rsidP="00C70325"/>
        </w:tc>
      </w:tr>
      <w:tr w:rsidR="00EE4461" w14:paraId="36B5DE50" w14:textId="77777777" w:rsidTr="00123702">
        <w:tc>
          <w:tcPr>
            <w:tcW w:w="2880" w:type="dxa"/>
          </w:tcPr>
          <w:p w14:paraId="651799C7" w14:textId="77777777" w:rsidR="00EE4461" w:rsidRDefault="00EE4461" w:rsidP="00C70325">
            <w:r>
              <w:t>Refuser de recruter dans une unité combattante de l’armée une personne frappée d’hémophilie sévère</w:t>
            </w:r>
          </w:p>
        </w:tc>
        <w:tc>
          <w:tcPr>
            <w:tcW w:w="2880" w:type="dxa"/>
          </w:tcPr>
          <w:p w14:paraId="55734DA5" w14:textId="77777777" w:rsidR="00EE4461" w:rsidRDefault="00EE4461" w:rsidP="00C70325"/>
        </w:tc>
        <w:tc>
          <w:tcPr>
            <w:tcW w:w="2880" w:type="dxa"/>
          </w:tcPr>
          <w:p w14:paraId="4376916D" w14:textId="77777777" w:rsidR="00EE4461" w:rsidRDefault="00EE4461" w:rsidP="00C70325"/>
        </w:tc>
      </w:tr>
      <w:tr w:rsidR="00EE4461" w14:paraId="62391E2D" w14:textId="77777777" w:rsidTr="00123702">
        <w:tc>
          <w:tcPr>
            <w:tcW w:w="2880" w:type="dxa"/>
          </w:tcPr>
          <w:p w14:paraId="7A1E631F" w14:textId="77777777" w:rsidR="00EE4461" w:rsidRDefault="00EE4461" w:rsidP="00C70325">
            <w:r>
              <w:t xml:space="preserve">Refuser à un acteur de sexe masculin le rôle de Juliette dans </w:t>
            </w:r>
            <w:r w:rsidRPr="00C1664E">
              <w:rPr>
                <w:i/>
                <w:iCs/>
              </w:rPr>
              <w:t>Roméo et Juliette</w:t>
            </w:r>
          </w:p>
        </w:tc>
        <w:tc>
          <w:tcPr>
            <w:tcW w:w="2880" w:type="dxa"/>
          </w:tcPr>
          <w:p w14:paraId="7ACDA813" w14:textId="77777777" w:rsidR="00EE4461" w:rsidRDefault="00EE4461" w:rsidP="00C70325"/>
        </w:tc>
        <w:tc>
          <w:tcPr>
            <w:tcW w:w="2880" w:type="dxa"/>
          </w:tcPr>
          <w:p w14:paraId="3EB5DF02" w14:textId="77777777" w:rsidR="00EE4461" w:rsidRDefault="00EE4461" w:rsidP="00C70325"/>
        </w:tc>
      </w:tr>
      <w:tr w:rsidR="00EE4461" w14:paraId="73D8B4FD" w14:textId="77777777" w:rsidTr="00123702">
        <w:tc>
          <w:tcPr>
            <w:tcW w:w="2880" w:type="dxa"/>
          </w:tcPr>
          <w:p w14:paraId="44478501" w14:textId="77777777" w:rsidR="00EE4461" w:rsidRDefault="00EE4461" w:rsidP="00C70325">
            <w:r>
              <w:t>Refuser l’inscription dans une école catholique à un élève issu d’une famille musulmane, ou l’inverse</w:t>
            </w:r>
          </w:p>
        </w:tc>
        <w:tc>
          <w:tcPr>
            <w:tcW w:w="2880" w:type="dxa"/>
          </w:tcPr>
          <w:p w14:paraId="06C65D58" w14:textId="77777777" w:rsidR="00EE4461" w:rsidRDefault="00EE4461" w:rsidP="00C70325"/>
        </w:tc>
        <w:tc>
          <w:tcPr>
            <w:tcW w:w="2880" w:type="dxa"/>
          </w:tcPr>
          <w:p w14:paraId="02F7B49E" w14:textId="77777777" w:rsidR="00EE4461" w:rsidRDefault="00EE4461" w:rsidP="00C70325"/>
        </w:tc>
      </w:tr>
      <w:tr w:rsidR="00EE4461" w14:paraId="270835AC" w14:textId="77777777" w:rsidTr="00123702">
        <w:tc>
          <w:tcPr>
            <w:tcW w:w="2880" w:type="dxa"/>
          </w:tcPr>
          <w:p w14:paraId="5BA43277" w14:textId="0473647F" w:rsidR="00EE4461" w:rsidRDefault="00EE4461" w:rsidP="00C70325">
            <w:r>
              <w:lastRenderedPageBreak/>
              <w:t>Refuser un emploi de bureau à une personne en fauteuil roulant en raison de «</w:t>
            </w:r>
            <w:r w:rsidR="007B68FF">
              <w:t> </w:t>
            </w:r>
            <w:r>
              <w:t>locaux inadaptés</w:t>
            </w:r>
            <w:r w:rsidR="007B68FF">
              <w:t> </w:t>
            </w:r>
            <w:r>
              <w:t>»</w:t>
            </w:r>
          </w:p>
        </w:tc>
        <w:tc>
          <w:tcPr>
            <w:tcW w:w="2880" w:type="dxa"/>
          </w:tcPr>
          <w:p w14:paraId="4530E702" w14:textId="77777777" w:rsidR="00EE4461" w:rsidRDefault="00EE4461" w:rsidP="00C70325"/>
        </w:tc>
        <w:tc>
          <w:tcPr>
            <w:tcW w:w="2880" w:type="dxa"/>
          </w:tcPr>
          <w:p w14:paraId="001B0129" w14:textId="77777777" w:rsidR="00EE4461" w:rsidRDefault="00EE4461" w:rsidP="00C70325"/>
        </w:tc>
      </w:tr>
      <w:tr w:rsidR="00EE4461" w14:paraId="5E33EE47" w14:textId="77777777" w:rsidTr="00123702">
        <w:tc>
          <w:tcPr>
            <w:tcW w:w="2880" w:type="dxa"/>
          </w:tcPr>
          <w:p w14:paraId="00FFCEAC" w14:textId="77777777" w:rsidR="00EE4461" w:rsidRDefault="00EE4461" w:rsidP="00C70325">
            <w:r>
              <w:t>Refuser la pratique du karaté à une femme enceinte de six mois</w:t>
            </w:r>
          </w:p>
        </w:tc>
        <w:tc>
          <w:tcPr>
            <w:tcW w:w="2880" w:type="dxa"/>
          </w:tcPr>
          <w:p w14:paraId="70A84D69" w14:textId="77777777" w:rsidR="00EE4461" w:rsidRDefault="00EE4461" w:rsidP="00C70325"/>
        </w:tc>
        <w:tc>
          <w:tcPr>
            <w:tcW w:w="2880" w:type="dxa"/>
          </w:tcPr>
          <w:p w14:paraId="03AEA671" w14:textId="77777777" w:rsidR="00EE4461" w:rsidRDefault="00EE4461" w:rsidP="00C70325"/>
        </w:tc>
      </w:tr>
      <w:tr w:rsidR="00EE4461" w14:paraId="2408C0D8" w14:textId="77777777" w:rsidTr="00123702">
        <w:tc>
          <w:tcPr>
            <w:tcW w:w="2880" w:type="dxa"/>
          </w:tcPr>
          <w:p w14:paraId="09490099" w14:textId="77777777" w:rsidR="00EE4461" w:rsidRDefault="00EE4461" w:rsidP="00C70325">
            <w:r>
              <w:t>Refuser un poste à un militant syndical au nom du fait qu’il pourrait nuire à la « sérénité de l’entreprise »</w:t>
            </w:r>
          </w:p>
        </w:tc>
        <w:tc>
          <w:tcPr>
            <w:tcW w:w="2880" w:type="dxa"/>
          </w:tcPr>
          <w:p w14:paraId="50A8A926" w14:textId="77777777" w:rsidR="00EE4461" w:rsidRDefault="00EE4461" w:rsidP="00C70325"/>
        </w:tc>
        <w:tc>
          <w:tcPr>
            <w:tcW w:w="2880" w:type="dxa"/>
          </w:tcPr>
          <w:p w14:paraId="716E0027" w14:textId="77777777" w:rsidR="00EE4461" w:rsidRDefault="00EE4461" w:rsidP="00C70325"/>
        </w:tc>
      </w:tr>
    </w:tbl>
    <w:p w14:paraId="7EDAEEDD" w14:textId="77777777" w:rsidR="00EE4461" w:rsidRPr="00AC2B28" w:rsidRDefault="00EE4461" w:rsidP="002655CF">
      <w:pPr>
        <w:pStyle w:val="Titre1"/>
      </w:pPr>
      <w:r w:rsidRPr="00AC2B28">
        <w:t>Corrigé de l’activité sur les situations discriminatoires</w:t>
      </w:r>
    </w:p>
    <w:p w14:paraId="300A90AB" w14:textId="06CCCD68" w:rsidR="00EE4461" w:rsidRPr="00AC2B28" w:rsidRDefault="00EE4461" w:rsidP="00EE4461">
      <w:r w:rsidRPr="00AC2B28">
        <w:t>Ce tableau classe différentes situations selon qu</w:t>
      </w:r>
      <w:r w:rsidR="007B68FF">
        <w:t>’</w:t>
      </w:r>
      <w:r w:rsidRPr="00AC2B28">
        <w:t>elles relèvent ou non de la discrimination au sens des articles</w:t>
      </w:r>
      <w:r w:rsidR="007B68FF">
        <w:t> </w:t>
      </w:r>
      <w:r w:rsidRPr="00AC2B28">
        <w:t>225-1 à 225-3 du Code pénal.</w:t>
      </w:r>
    </w:p>
    <w:tbl>
      <w:tblPr>
        <w:tblStyle w:val="Grilledutableau"/>
        <w:tblW w:w="5000" w:type="pct"/>
        <w:tblBorders>
          <w:top w:val="single" w:sz="4" w:space="0" w:color="E0DDEE"/>
          <w:left w:val="single" w:sz="4" w:space="0" w:color="E0DDEE"/>
          <w:bottom w:val="single" w:sz="4" w:space="0" w:color="E0DDEE"/>
          <w:right w:val="single" w:sz="4" w:space="0" w:color="E0DDEE"/>
          <w:insideH w:val="single" w:sz="4" w:space="0" w:color="E0DDEE"/>
          <w:insideV w:val="single" w:sz="4" w:space="0" w:color="E0DDEE"/>
        </w:tblBorders>
        <w:tblLook w:val="0480" w:firstRow="0" w:lastRow="0" w:firstColumn="1" w:lastColumn="0" w:noHBand="0" w:noVBand="1"/>
      </w:tblPr>
      <w:tblGrid>
        <w:gridCol w:w="3210"/>
        <w:gridCol w:w="3209"/>
        <w:gridCol w:w="3209"/>
      </w:tblGrid>
      <w:tr w:rsidR="00EE4461" w:rsidRPr="00123702" w14:paraId="4ECAEBEE" w14:textId="77777777" w:rsidTr="00123702">
        <w:tc>
          <w:tcPr>
            <w:tcW w:w="2880" w:type="dxa"/>
            <w:shd w:val="clear" w:color="auto" w:fill="E0DDEE"/>
          </w:tcPr>
          <w:p w14:paraId="205CB7AE" w14:textId="77777777" w:rsidR="00EE4461" w:rsidRPr="00123702" w:rsidRDefault="00EE4461" w:rsidP="00C70325">
            <w:pPr>
              <w:rPr>
                <w:b/>
                <w:bCs/>
              </w:rPr>
            </w:pPr>
            <w:r w:rsidRPr="00123702">
              <w:rPr>
                <w:b/>
                <w:bCs/>
              </w:rPr>
              <w:t>Situation</w:t>
            </w:r>
          </w:p>
        </w:tc>
        <w:tc>
          <w:tcPr>
            <w:tcW w:w="2880" w:type="dxa"/>
            <w:shd w:val="clear" w:color="auto" w:fill="E0DDEE"/>
          </w:tcPr>
          <w:p w14:paraId="1FFF5399" w14:textId="32539722" w:rsidR="00EE4461" w:rsidRPr="00123702" w:rsidRDefault="00EE4461" w:rsidP="00C70325">
            <w:pPr>
              <w:rPr>
                <w:b/>
                <w:bCs/>
              </w:rPr>
            </w:pPr>
            <w:r w:rsidRPr="00123702">
              <w:rPr>
                <w:b/>
                <w:bCs/>
              </w:rPr>
              <w:t>Discriminatoire</w:t>
            </w:r>
            <w:r w:rsidR="007B68FF">
              <w:rPr>
                <w:b/>
                <w:bCs/>
              </w:rPr>
              <w:t> </w:t>
            </w:r>
            <w:r w:rsidRPr="00123702">
              <w:rPr>
                <w:b/>
                <w:bCs/>
              </w:rPr>
              <w:t>?</w:t>
            </w:r>
          </w:p>
        </w:tc>
        <w:tc>
          <w:tcPr>
            <w:tcW w:w="2880" w:type="dxa"/>
            <w:shd w:val="clear" w:color="auto" w:fill="E0DDEE"/>
          </w:tcPr>
          <w:p w14:paraId="2136CFB4" w14:textId="77777777" w:rsidR="00EE4461" w:rsidRPr="00123702" w:rsidRDefault="00EE4461" w:rsidP="00C70325">
            <w:pPr>
              <w:rPr>
                <w:b/>
                <w:bCs/>
              </w:rPr>
            </w:pPr>
            <w:r w:rsidRPr="00123702">
              <w:rPr>
                <w:b/>
                <w:bCs/>
              </w:rPr>
              <w:t>Justification</w:t>
            </w:r>
          </w:p>
        </w:tc>
      </w:tr>
      <w:tr w:rsidR="00EE4461" w:rsidRPr="00AC2B28" w14:paraId="79EED758" w14:textId="77777777" w:rsidTr="00123702">
        <w:tc>
          <w:tcPr>
            <w:tcW w:w="2880" w:type="dxa"/>
          </w:tcPr>
          <w:p w14:paraId="59C9E47F" w14:textId="77777777" w:rsidR="00EE4461" w:rsidRPr="00AC2B28" w:rsidRDefault="00EE4461" w:rsidP="00C70325">
            <w:r w:rsidRPr="00AC2B28">
              <w:t>Refuser l’entrée en boîte de nuit à des personnes d’origine africaine alors que l’on vient de laisser entrer des personnes d’origine européenne</w:t>
            </w:r>
          </w:p>
        </w:tc>
        <w:tc>
          <w:tcPr>
            <w:tcW w:w="2880" w:type="dxa"/>
          </w:tcPr>
          <w:p w14:paraId="314FD094" w14:textId="77777777" w:rsidR="00EE4461" w:rsidRPr="00AC2B28" w:rsidRDefault="00EE4461" w:rsidP="00C70325">
            <w:r w:rsidRPr="00AC2B28">
              <w:t>Oui</w:t>
            </w:r>
          </w:p>
        </w:tc>
        <w:tc>
          <w:tcPr>
            <w:tcW w:w="2880" w:type="dxa"/>
          </w:tcPr>
          <w:p w14:paraId="5E017B94" w14:textId="73B638F8" w:rsidR="00EE4461" w:rsidRPr="00AC2B28" w:rsidRDefault="00EE4461" w:rsidP="00C70325">
            <w:r w:rsidRPr="00AC2B28">
              <w:t>Discrimination fondée sur l</w:t>
            </w:r>
            <w:r w:rsidR="007B68FF">
              <w:t>’</w:t>
            </w:r>
            <w:r w:rsidRPr="00AC2B28">
              <w:t>origine, interdite par l</w:t>
            </w:r>
            <w:r w:rsidR="007B68FF">
              <w:t>’</w:t>
            </w:r>
            <w:r w:rsidRPr="00AC2B28">
              <w:t>article</w:t>
            </w:r>
            <w:r w:rsidR="007B68FF">
              <w:t> </w:t>
            </w:r>
            <w:r w:rsidRPr="00AC2B28">
              <w:t>225-1.</w:t>
            </w:r>
          </w:p>
        </w:tc>
      </w:tr>
      <w:tr w:rsidR="00EE4461" w:rsidRPr="00AC2B28" w14:paraId="1F65CE63" w14:textId="77777777" w:rsidTr="00123702">
        <w:tc>
          <w:tcPr>
            <w:tcW w:w="2880" w:type="dxa"/>
          </w:tcPr>
          <w:p w14:paraId="5AC85177" w14:textId="77777777" w:rsidR="00EE4461" w:rsidRPr="00AC2B28" w:rsidRDefault="00EE4461" w:rsidP="00C70325">
            <w:r w:rsidRPr="00AC2B28">
              <w:t>Refuser l’embauche dans la police à une personne dont le casier judiciaire fait mention de condamnations lourdes</w:t>
            </w:r>
          </w:p>
        </w:tc>
        <w:tc>
          <w:tcPr>
            <w:tcW w:w="2880" w:type="dxa"/>
          </w:tcPr>
          <w:p w14:paraId="51EA1DDE" w14:textId="77777777" w:rsidR="00EE4461" w:rsidRPr="00AC2B28" w:rsidRDefault="00EE4461" w:rsidP="00C70325">
            <w:r w:rsidRPr="00AC2B28">
              <w:t>Non</w:t>
            </w:r>
          </w:p>
        </w:tc>
        <w:tc>
          <w:tcPr>
            <w:tcW w:w="2880" w:type="dxa"/>
          </w:tcPr>
          <w:p w14:paraId="1D88AD1C" w14:textId="77777777" w:rsidR="00EE4461" w:rsidRPr="00AC2B28" w:rsidRDefault="00EE4461" w:rsidP="00C70325">
            <w:r w:rsidRPr="00AC2B28">
              <w:t>Justification objective et légitime liée à l’intégrité nécessaire pour exercer dans la police.</w:t>
            </w:r>
          </w:p>
        </w:tc>
      </w:tr>
      <w:tr w:rsidR="00EE4461" w:rsidRPr="00AC2B28" w14:paraId="59CA69B6" w14:textId="77777777" w:rsidTr="00123702">
        <w:tc>
          <w:tcPr>
            <w:tcW w:w="2880" w:type="dxa"/>
          </w:tcPr>
          <w:p w14:paraId="1FAB5CD2" w14:textId="77777777" w:rsidR="00EE4461" w:rsidRPr="00AC2B28" w:rsidRDefault="00EE4461" w:rsidP="00C70325">
            <w:r w:rsidRPr="00AC2B28">
              <w:t>Refuser l’accès à un poste de magistrat à une personne qui n’est pas de nationalité française</w:t>
            </w:r>
          </w:p>
        </w:tc>
        <w:tc>
          <w:tcPr>
            <w:tcW w:w="2880" w:type="dxa"/>
          </w:tcPr>
          <w:p w14:paraId="0C14A841" w14:textId="77777777" w:rsidR="00EE4461" w:rsidRPr="00AC2B28" w:rsidRDefault="00EE4461" w:rsidP="00C70325">
            <w:r w:rsidRPr="00AC2B28">
              <w:t>Non</w:t>
            </w:r>
          </w:p>
        </w:tc>
        <w:tc>
          <w:tcPr>
            <w:tcW w:w="2880" w:type="dxa"/>
          </w:tcPr>
          <w:p w14:paraId="0F876F6D" w14:textId="77777777" w:rsidR="00EE4461" w:rsidRPr="00AC2B28" w:rsidRDefault="00EE4461" w:rsidP="00C70325">
            <w:r w:rsidRPr="00AC2B28">
              <w:t>Exigence légale de nationalité pour certaines fonctions souveraines (magistrature, armée, etc.).</w:t>
            </w:r>
          </w:p>
        </w:tc>
      </w:tr>
      <w:tr w:rsidR="00EE4461" w:rsidRPr="00AC2B28" w14:paraId="63CE3C5D" w14:textId="77777777" w:rsidTr="00123702">
        <w:tc>
          <w:tcPr>
            <w:tcW w:w="2880" w:type="dxa"/>
          </w:tcPr>
          <w:p w14:paraId="45463F09" w14:textId="230C8883" w:rsidR="00EE4461" w:rsidRPr="00AC2B28" w:rsidRDefault="00EE4461" w:rsidP="00C70325">
            <w:r w:rsidRPr="00AC2B28">
              <w:t>Refuser de louer un appartement à un couple homosexuel sous prétexte que le propriétaire préfère «</w:t>
            </w:r>
            <w:r w:rsidR="007B68FF">
              <w:t> </w:t>
            </w:r>
            <w:r w:rsidRPr="00AC2B28">
              <w:t>les couples normaux</w:t>
            </w:r>
            <w:r w:rsidR="007B68FF">
              <w:t> </w:t>
            </w:r>
            <w:r w:rsidRPr="00AC2B28">
              <w:t>»</w:t>
            </w:r>
          </w:p>
        </w:tc>
        <w:tc>
          <w:tcPr>
            <w:tcW w:w="2880" w:type="dxa"/>
          </w:tcPr>
          <w:p w14:paraId="32ED26E5" w14:textId="77777777" w:rsidR="00EE4461" w:rsidRPr="00AC2B28" w:rsidRDefault="00EE4461" w:rsidP="00C70325">
            <w:r w:rsidRPr="00AC2B28">
              <w:t>Oui</w:t>
            </w:r>
          </w:p>
        </w:tc>
        <w:tc>
          <w:tcPr>
            <w:tcW w:w="2880" w:type="dxa"/>
          </w:tcPr>
          <w:p w14:paraId="4EF9E4E0" w14:textId="77777777" w:rsidR="00EE4461" w:rsidRPr="00AC2B28" w:rsidRDefault="00EE4461" w:rsidP="00C70325">
            <w:r w:rsidRPr="00AC2B28">
              <w:t>Discrimination fondée sur l’orientation sexuelle, explicitement interdite.</w:t>
            </w:r>
          </w:p>
        </w:tc>
      </w:tr>
      <w:tr w:rsidR="00EE4461" w:rsidRPr="00AC2B28" w14:paraId="45A7F373" w14:textId="77777777" w:rsidTr="00123702">
        <w:tc>
          <w:tcPr>
            <w:tcW w:w="2880" w:type="dxa"/>
          </w:tcPr>
          <w:p w14:paraId="79EEB790" w14:textId="77777777" w:rsidR="00EE4461" w:rsidRPr="00AC2B28" w:rsidRDefault="00EE4461" w:rsidP="00C70325">
            <w:r w:rsidRPr="00AC2B28">
              <w:t xml:space="preserve">Refuser de recruter dans une unité combattante de l’armée </w:t>
            </w:r>
            <w:r w:rsidRPr="00AC2B28">
              <w:lastRenderedPageBreak/>
              <w:t>une personne frappée d’hémophilie sévère</w:t>
            </w:r>
          </w:p>
        </w:tc>
        <w:tc>
          <w:tcPr>
            <w:tcW w:w="2880" w:type="dxa"/>
          </w:tcPr>
          <w:p w14:paraId="56051236" w14:textId="77777777" w:rsidR="00EE4461" w:rsidRPr="00AC2B28" w:rsidRDefault="00EE4461" w:rsidP="00C70325">
            <w:r w:rsidRPr="00AC2B28">
              <w:lastRenderedPageBreak/>
              <w:t>Non</w:t>
            </w:r>
          </w:p>
        </w:tc>
        <w:tc>
          <w:tcPr>
            <w:tcW w:w="2880" w:type="dxa"/>
          </w:tcPr>
          <w:p w14:paraId="1B98880C" w14:textId="77777777" w:rsidR="00EE4461" w:rsidRPr="00AC2B28" w:rsidRDefault="00EE4461" w:rsidP="00C70325">
            <w:r w:rsidRPr="00AC2B28">
              <w:t>Justification médicale liée aux exigences physiques du poste (proportionnée et légitime).</w:t>
            </w:r>
          </w:p>
        </w:tc>
      </w:tr>
      <w:tr w:rsidR="00EE4461" w:rsidRPr="00AC2B28" w14:paraId="05D2149B" w14:textId="77777777" w:rsidTr="00123702">
        <w:tc>
          <w:tcPr>
            <w:tcW w:w="2880" w:type="dxa"/>
          </w:tcPr>
          <w:p w14:paraId="57335A5E" w14:textId="77777777" w:rsidR="00EE4461" w:rsidRPr="00AC2B28" w:rsidRDefault="00EE4461" w:rsidP="00C70325">
            <w:r w:rsidRPr="00AC2B28">
              <w:t>Refuser à un acteur de sexe masculin le rôle de Juliette dans Roméo et Juliette</w:t>
            </w:r>
          </w:p>
        </w:tc>
        <w:tc>
          <w:tcPr>
            <w:tcW w:w="2880" w:type="dxa"/>
          </w:tcPr>
          <w:p w14:paraId="681EAEF3" w14:textId="77777777" w:rsidR="00EE4461" w:rsidRPr="00AC2B28" w:rsidRDefault="00EE4461" w:rsidP="00C70325">
            <w:r w:rsidRPr="00AC2B28">
              <w:t>Non</w:t>
            </w:r>
          </w:p>
        </w:tc>
        <w:tc>
          <w:tcPr>
            <w:tcW w:w="2880" w:type="dxa"/>
          </w:tcPr>
          <w:p w14:paraId="7C2A8235" w14:textId="77777777" w:rsidR="00EE4461" w:rsidRPr="00AC2B28" w:rsidRDefault="00EE4461" w:rsidP="00C70325">
            <w:r w:rsidRPr="00AC2B28">
              <w:t>Choix artistique lié au rôle (exigence professionnelle essentielle dans le cadre d’une œuvre de fiction).</w:t>
            </w:r>
          </w:p>
        </w:tc>
      </w:tr>
      <w:tr w:rsidR="00EE4461" w:rsidRPr="00AC2B28" w14:paraId="327DE515" w14:textId="77777777" w:rsidTr="00123702">
        <w:tc>
          <w:tcPr>
            <w:tcW w:w="2880" w:type="dxa"/>
          </w:tcPr>
          <w:p w14:paraId="676D40C5" w14:textId="77777777" w:rsidR="00EE4461" w:rsidRPr="00AC2B28" w:rsidRDefault="00EE4461" w:rsidP="00C70325">
            <w:r w:rsidRPr="00AC2B28">
              <w:t>Refuser l’inscription dans une école catholique à un élève issu d’une famille musulmane, ou l’inverse</w:t>
            </w:r>
          </w:p>
        </w:tc>
        <w:tc>
          <w:tcPr>
            <w:tcW w:w="2880" w:type="dxa"/>
          </w:tcPr>
          <w:p w14:paraId="655AA3D3" w14:textId="77777777" w:rsidR="00EE4461" w:rsidRPr="00AC2B28" w:rsidRDefault="00EE4461" w:rsidP="00C70325">
            <w:r w:rsidRPr="00AC2B28">
              <w:t>Oui</w:t>
            </w:r>
          </w:p>
        </w:tc>
        <w:tc>
          <w:tcPr>
            <w:tcW w:w="2880" w:type="dxa"/>
          </w:tcPr>
          <w:p w14:paraId="614BC2D2" w14:textId="77777777" w:rsidR="00EE4461" w:rsidRPr="00AC2B28" w:rsidRDefault="00EE4461" w:rsidP="00C70325">
            <w:r w:rsidRPr="00AC2B28">
              <w:t>Discrimination fondée sur la religion, interdite même dans les établissements confessionnels.</w:t>
            </w:r>
          </w:p>
        </w:tc>
      </w:tr>
      <w:tr w:rsidR="00EE4461" w:rsidRPr="00AC2B28" w14:paraId="42016284" w14:textId="77777777" w:rsidTr="00123702">
        <w:tc>
          <w:tcPr>
            <w:tcW w:w="2880" w:type="dxa"/>
          </w:tcPr>
          <w:p w14:paraId="22CA1499" w14:textId="7C7531C2" w:rsidR="00EE4461" w:rsidRPr="00AC2B28" w:rsidRDefault="00EE4461" w:rsidP="00C70325">
            <w:r w:rsidRPr="00AC2B28">
              <w:t>Refuser un emploi de bureau à une personne en fauteuil roulant en raison de «</w:t>
            </w:r>
            <w:r w:rsidR="007B68FF">
              <w:t> </w:t>
            </w:r>
            <w:r w:rsidRPr="00AC2B28">
              <w:t>locaux inadaptés</w:t>
            </w:r>
            <w:r w:rsidR="007B68FF">
              <w:t> </w:t>
            </w:r>
            <w:r w:rsidRPr="00AC2B28">
              <w:t>»</w:t>
            </w:r>
          </w:p>
        </w:tc>
        <w:tc>
          <w:tcPr>
            <w:tcW w:w="2880" w:type="dxa"/>
          </w:tcPr>
          <w:p w14:paraId="3D84ED60" w14:textId="77777777" w:rsidR="00EE4461" w:rsidRPr="00AC2B28" w:rsidRDefault="00EE4461" w:rsidP="00C70325">
            <w:r w:rsidRPr="00AC2B28">
              <w:t>Oui</w:t>
            </w:r>
          </w:p>
        </w:tc>
        <w:tc>
          <w:tcPr>
            <w:tcW w:w="2880" w:type="dxa"/>
          </w:tcPr>
          <w:p w14:paraId="2F9353C4" w14:textId="52B8830E" w:rsidR="00EE4461" w:rsidRPr="00AC2B28" w:rsidRDefault="00EE4461" w:rsidP="00C70325">
            <w:r w:rsidRPr="00AC2B28">
              <w:t>Discrimination fondée sur le handicap</w:t>
            </w:r>
            <w:r w:rsidR="007B68FF">
              <w:t> </w:t>
            </w:r>
            <w:r w:rsidRPr="00AC2B28">
              <w:t>; les employeurs doivent rendre les locaux accessibles.</w:t>
            </w:r>
          </w:p>
        </w:tc>
      </w:tr>
      <w:tr w:rsidR="00EE4461" w:rsidRPr="00AC2B28" w14:paraId="7AB3E7DA" w14:textId="77777777" w:rsidTr="00123702">
        <w:tc>
          <w:tcPr>
            <w:tcW w:w="2880" w:type="dxa"/>
          </w:tcPr>
          <w:p w14:paraId="4A2D3366" w14:textId="77777777" w:rsidR="00EE4461" w:rsidRPr="00AC2B28" w:rsidRDefault="00EE4461" w:rsidP="00C70325">
            <w:r w:rsidRPr="00AC2B28">
              <w:t>Refuser la pratique du karaté à une femme enceinte de six mois</w:t>
            </w:r>
          </w:p>
        </w:tc>
        <w:tc>
          <w:tcPr>
            <w:tcW w:w="2880" w:type="dxa"/>
          </w:tcPr>
          <w:p w14:paraId="4319BAE7" w14:textId="77777777" w:rsidR="00EE4461" w:rsidRPr="00AC2B28" w:rsidRDefault="00EE4461" w:rsidP="00C70325">
            <w:r w:rsidRPr="00AC2B28">
              <w:t>Non</w:t>
            </w:r>
          </w:p>
        </w:tc>
        <w:tc>
          <w:tcPr>
            <w:tcW w:w="2880" w:type="dxa"/>
          </w:tcPr>
          <w:p w14:paraId="4D240A81" w14:textId="77777777" w:rsidR="00EE4461" w:rsidRPr="00AC2B28" w:rsidRDefault="00EE4461" w:rsidP="00C70325">
            <w:r w:rsidRPr="00AC2B28">
              <w:t>Refus justifié par des raisons de sécurité liées à l’état de santé de la personne (proportionné).</w:t>
            </w:r>
          </w:p>
        </w:tc>
      </w:tr>
      <w:tr w:rsidR="00EE4461" w:rsidRPr="00AC2B28" w14:paraId="65047C8F" w14:textId="77777777" w:rsidTr="00123702">
        <w:tc>
          <w:tcPr>
            <w:tcW w:w="2880" w:type="dxa"/>
          </w:tcPr>
          <w:p w14:paraId="62D29319" w14:textId="32F22353" w:rsidR="00EE4461" w:rsidRPr="00AC2B28" w:rsidRDefault="00EE4461" w:rsidP="00C70325">
            <w:r w:rsidRPr="00AC2B28">
              <w:t>Refuser un poste à un militant syndical au nom du fait qu’il pourrait nuire à la «</w:t>
            </w:r>
            <w:r w:rsidR="008C1877">
              <w:t> </w:t>
            </w:r>
            <w:r w:rsidRPr="00AC2B28">
              <w:t>sérénité de l’entreprise</w:t>
            </w:r>
            <w:r w:rsidR="008C1877">
              <w:t> </w:t>
            </w:r>
            <w:r w:rsidRPr="00AC2B28">
              <w:t>»</w:t>
            </w:r>
          </w:p>
        </w:tc>
        <w:tc>
          <w:tcPr>
            <w:tcW w:w="2880" w:type="dxa"/>
          </w:tcPr>
          <w:p w14:paraId="43621E7E" w14:textId="77777777" w:rsidR="00EE4461" w:rsidRPr="00AC2B28" w:rsidRDefault="00EE4461" w:rsidP="00C70325">
            <w:r w:rsidRPr="00AC2B28">
              <w:t>Oui</w:t>
            </w:r>
          </w:p>
        </w:tc>
        <w:tc>
          <w:tcPr>
            <w:tcW w:w="2880" w:type="dxa"/>
          </w:tcPr>
          <w:p w14:paraId="26389DA5" w14:textId="77777777" w:rsidR="00EE4461" w:rsidRPr="00AC2B28" w:rsidRDefault="00EE4461" w:rsidP="00C70325">
            <w:r w:rsidRPr="00AC2B28">
              <w:t>Discrimination liée à l’engagement syndical, strictement interdite par la loi.</w:t>
            </w:r>
          </w:p>
        </w:tc>
      </w:tr>
    </w:tbl>
    <w:p w14:paraId="09AA6CE8" w14:textId="625F6B35" w:rsidR="007E0E8C" w:rsidRDefault="007E0E8C" w:rsidP="00123702">
      <w:pPr>
        <w:pStyle w:val="Paragraphedeliste"/>
        <w:numPr>
          <w:ilvl w:val="0"/>
          <w:numId w:val="0"/>
        </w:numPr>
        <w:spacing w:before="100" w:beforeAutospacing="1"/>
        <w:jc w:val="both"/>
      </w:pPr>
      <w:r>
        <w:t xml:space="preserve">Après cette introduction, l’objet du travail est d’observer comment l’État et les pouvoirs publics, conscients des difficultés à objectiver les discriminations, mobilisent différents éléments de nature variée (lois et règlements, institutions indépendantes, statistiques, etc.), afin de mieux connaître et réprimer les discriminations, qui portent atteinte aux valeurs de la République.  </w:t>
      </w:r>
    </w:p>
    <w:p w14:paraId="761F2FB9" w14:textId="77777777" w:rsidR="007E0E8C" w:rsidRPr="006A45D1" w:rsidRDefault="007E0E8C" w:rsidP="00123702">
      <w:pPr>
        <w:pStyle w:val="Encadrdocumenttitre"/>
      </w:pPr>
      <w:bookmarkStart w:id="7" w:name="_Hlk210399517"/>
      <w:r>
        <w:t>D</w:t>
      </w:r>
      <w:r w:rsidRPr="006A45D1">
        <w:t>o</w:t>
      </w:r>
      <w:r w:rsidRPr="00325F88">
        <w:t>nnées ministérielles ou d’institution pour prendre la mesure des discriminations</w:t>
      </w:r>
      <w:r>
        <w:t xml:space="preserve"> permettant la constitution d’un support documentaire</w:t>
      </w:r>
    </w:p>
    <w:p w14:paraId="2576C332" w14:textId="7D87C3A2" w:rsidR="007E0E8C" w:rsidRDefault="007E0E8C" w:rsidP="00123702">
      <w:pPr>
        <w:pStyle w:val="Encadrdocument"/>
      </w:pPr>
      <w:r>
        <w:t>Plusieurs institutions publiques (ministère de l’Intérieur, Commission consultative des droits de l’Homme, Défenseur des droits, INSEE, INED…) fournissent de nombreuses données statistiques sur les infractions aux lois sur les discriminations, notamment raciales. Elles soulignent qu’entre les infractions à caractère raciste ou antisémite déclarées par les victimes dans les enquêtes de victimation, les plaintes effectivement déposées, les poursuites engagées et les peines finalement prononcées, l’écart est considérable. Rappelons par ailleurs qu’en la matière, le délai de prescription est d’un an</w:t>
      </w:r>
      <w:r>
        <w:rPr>
          <w:rStyle w:val="Appelnotedebasdep"/>
        </w:rPr>
        <w:footnoteReference w:id="2"/>
      </w:r>
      <w:r>
        <w:t>, et qu’en 2022, 55</w:t>
      </w:r>
      <w:r w:rsidR="007B68FF">
        <w:t> </w:t>
      </w:r>
      <w:r>
        <w:t>% des affaires ont, pour diverses raisons, été classées sans suite</w:t>
      </w:r>
      <w:r>
        <w:rPr>
          <w:rStyle w:val="Appelnotedebasdep"/>
        </w:rPr>
        <w:footnoteReference w:id="3"/>
      </w:r>
      <w:r>
        <w:t xml:space="preserve">. </w:t>
      </w:r>
    </w:p>
    <w:p w14:paraId="0886AFC4" w14:textId="77777777" w:rsidR="007E0E8C" w:rsidRPr="00C90129" w:rsidRDefault="007E0E8C" w:rsidP="00123702">
      <w:pPr>
        <w:pStyle w:val="Encadrdocumenttitre"/>
      </w:pPr>
      <w:r w:rsidRPr="00C90129">
        <w:t xml:space="preserve">Ministère de </w:t>
      </w:r>
      <w:r w:rsidRPr="005C28AA">
        <w:t>l’Intérieur</w:t>
      </w:r>
    </w:p>
    <w:p w14:paraId="3211B8B6" w14:textId="37DA473A" w:rsidR="007E0E8C" w:rsidRPr="00C90129" w:rsidRDefault="007E0E8C" w:rsidP="00123702">
      <w:pPr>
        <w:pStyle w:val="Encadrdocument"/>
      </w:pPr>
      <w:r w:rsidRPr="00C90129">
        <w:t>« En 2024, les services de police et de gendarmerie nationales ont enregistré plus de 16</w:t>
      </w:r>
      <w:r w:rsidR="007B68FF">
        <w:t> </w:t>
      </w:r>
      <w:r w:rsidRPr="00C90129">
        <w:t>000 infractions à caractère raciste, xénophobe ou antireligieux sur l’ensemble du territoire français</w:t>
      </w:r>
      <w:r w:rsidR="007B68FF">
        <w:t> </w:t>
      </w:r>
      <w:r w:rsidRPr="00C90129">
        <w:t>: 9</w:t>
      </w:r>
      <w:r w:rsidR="007B68FF">
        <w:t> </w:t>
      </w:r>
      <w:r w:rsidRPr="00C90129">
        <w:t>400 crimes ou délits et 7</w:t>
      </w:r>
      <w:r w:rsidR="007B68FF">
        <w:t> </w:t>
      </w:r>
      <w:r w:rsidRPr="00C90129">
        <w:t xml:space="preserve">000 contraventions. »  </w:t>
      </w:r>
    </w:p>
    <w:p w14:paraId="6CE7F508" w14:textId="17130D1F" w:rsidR="007E0E8C" w:rsidRPr="00C90129" w:rsidRDefault="007E0E8C" w:rsidP="00123702">
      <w:pPr>
        <w:pStyle w:val="Encadrdocument"/>
        <w:rPr>
          <w:color w:val="22557A"/>
        </w:rPr>
      </w:pPr>
      <w:r w:rsidRPr="00C90129">
        <w:lastRenderedPageBreak/>
        <w:t>« D’après l’enquête de victimation Vécu et ressenti en matière de sécurité (VRS), un peu plus d</w:t>
      </w:r>
      <w:r>
        <w:t xml:space="preserve">e </w:t>
      </w:r>
      <w:r w:rsidRPr="00C90129">
        <w:t xml:space="preserve">1 million de personnes de 18 ans et plus vivant en France métropolitaine déclarent avoir été victimes d’au moins une atteinte </w:t>
      </w:r>
      <w:r>
        <w:t>“</w:t>
      </w:r>
      <w:r w:rsidRPr="00C90129">
        <w:t>à caractère raciste</w:t>
      </w:r>
      <w:r>
        <w:t>”</w:t>
      </w:r>
      <w:r w:rsidRPr="00C90129">
        <w:t xml:space="preserve"> en 2022, soit 2,4</w:t>
      </w:r>
      <w:r w:rsidR="007B68FF">
        <w:t> </w:t>
      </w:r>
      <w:r w:rsidRPr="00C90129">
        <w:t>% de l’ensemble de la population majeure (contre 1,6</w:t>
      </w:r>
      <w:r w:rsidR="007B68FF">
        <w:t> </w:t>
      </w:r>
      <w:r w:rsidRPr="00C90129">
        <w:t>% l’année précédente). Moins de 3</w:t>
      </w:r>
      <w:r w:rsidR="007B68FF">
        <w:t> </w:t>
      </w:r>
      <w:r w:rsidRPr="00C90129">
        <w:t>% d’entre elles réalisent une démarche auprès des services de sécurité. »</w:t>
      </w:r>
    </w:p>
    <w:p w14:paraId="19B028B9" w14:textId="77777777" w:rsidR="007E0E8C" w:rsidRPr="00C90129" w:rsidRDefault="007E0E8C" w:rsidP="00123702">
      <w:pPr>
        <w:pStyle w:val="Encadrdocument"/>
        <w:rPr>
          <w:color w:val="22557A"/>
        </w:rPr>
      </w:pPr>
      <w:r w:rsidRPr="00C90129">
        <w:rPr>
          <w:color w:val="22557A"/>
        </w:rPr>
        <w:t xml:space="preserve">Sources : </w:t>
      </w:r>
    </w:p>
    <w:p w14:paraId="1616FB94" w14:textId="77777777" w:rsidR="007E0E8C" w:rsidRPr="00C90129" w:rsidRDefault="00976CA2" w:rsidP="00123702">
      <w:pPr>
        <w:pStyle w:val="Encadrdocument"/>
        <w:rPr>
          <w:color w:val="22557A"/>
        </w:rPr>
      </w:pPr>
      <w:hyperlink r:id="rId22" w:history="1">
        <w:r w:rsidR="007E0E8C" w:rsidRPr="00C90129">
          <w:rPr>
            <w:rStyle w:val="Lienhypertexte"/>
            <w:szCs w:val="18"/>
          </w:rPr>
          <w:t>https://www.interieur.gouv.fr/actualites/communiques-de-presse/atteintes-a-caractere-raciste-xenophobe-ou-antireligieux-en-2024</w:t>
        </w:r>
      </w:hyperlink>
    </w:p>
    <w:p w14:paraId="3B5EEB38" w14:textId="77777777" w:rsidR="007E0E8C" w:rsidRPr="008F792B" w:rsidRDefault="007E0E8C" w:rsidP="00123702">
      <w:pPr>
        <w:pStyle w:val="Encadrdocumenttitre"/>
      </w:pPr>
      <w:r w:rsidRPr="008F792B">
        <w:t xml:space="preserve">Ministère de la </w:t>
      </w:r>
      <w:r>
        <w:t>J</w:t>
      </w:r>
      <w:r w:rsidRPr="008F792B">
        <w:t>ustice</w:t>
      </w:r>
    </w:p>
    <w:p w14:paraId="43728DAC" w14:textId="77777777" w:rsidR="007E0E8C" w:rsidRPr="00A37E0B" w:rsidRDefault="007E0E8C" w:rsidP="00123702">
      <w:pPr>
        <w:pStyle w:val="Encadrdocument"/>
        <w:rPr>
          <w:szCs w:val="18"/>
        </w:rPr>
      </w:pPr>
      <w:r w:rsidRPr="00A37E0B">
        <w:rPr>
          <w:szCs w:val="18"/>
        </w:rPr>
        <w:t xml:space="preserve">Le ministère publie régulièrement dans </w:t>
      </w:r>
      <w:hyperlink r:id="rId23" w:history="1">
        <w:proofErr w:type="spellStart"/>
        <w:r w:rsidRPr="00A37E0B">
          <w:rPr>
            <w:rStyle w:val="Lienhypertexte"/>
          </w:rPr>
          <w:t>Infostat</w:t>
        </w:r>
        <w:proofErr w:type="spellEnd"/>
        <w:r w:rsidRPr="00A37E0B">
          <w:rPr>
            <w:rStyle w:val="Lienhypertexte"/>
          </w:rPr>
          <w:t xml:space="preserve"> Justice</w:t>
        </w:r>
      </w:hyperlink>
      <w:r w:rsidRPr="00A37E0B">
        <w:rPr>
          <w:szCs w:val="18"/>
        </w:rPr>
        <w:t xml:space="preserve"> des données analysées sur différentes infractions ou activité judiciaire. </w:t>
      </w:r>
    </w:p>
    <w:p w14:paraId="6EFF0A68" w14:textId="77777777" w:rsidR="007E0E8C" w:rsidRPr="008F792B" w:rsidRDefault="007E0E8C" w:rsidP="00123702">
      <w:pPr>
        <w:pStyle w:val="Encadrdocumenttitre"/>
      </w:pPr>
      <w:r w:rsidRPr="008F792B">
        <w:t xml:space="preserve">Commission </w:t>
      </w:r>
      <w:r>
        <w:t>c</w:t>
      </w:r>
      <w:r w:rsidRPr="008F792B">
        <w:t>onsultative des droits de l’Homme</w:t>
      </w:r>
    </w:p>
    <w:p w14:paraId="493F2B8C" w14:textId="4B11B3D0" w:rsidR="007E0E8C" w:rsidRPr="00A37E0B" w:rsidRDefault="007E0E8C" w:rsidP="00123702">
      <w:pPr>
        <w:pStyle w:val="Encadrdocument"/>
      </w:pPr>
      <w:r w:rsidRPr="00A37E0B">
        <w:t>« Poursuivre la lutte contre le «</w:t>
      </w:r>
      <w:r w:rsidR="007B68FF">
        <w:t> </w:t>
      </w:r>
      <w:r w:rsidRPr="00A37E0B">
        <w:t>chiffre noir</w:t>
      </w:r>
      <w:r w:rsidR="007B68FF">
        <w:t> </w:t>
      </w:r>
      <w:r w:rsidRPr="00A37E0B">
        <w:t>». L’expression «</w:t>
      </w:r>
      <w:r w:rsidR="007B68FF">
        <w:t> </w:t>
      </w:r>
      <w:r w:rsidRPr="00A37E0B">
        <w:t>chiffre noir</w:t>
      </w:r>
      <w:r w:rsidR="007B68FF">
        <w:t> </w:t>
      </w:r>
      <w:r w:rsidRPr="00A37E0B">
        <w:t>» désigne l’invisibilisation de l’ensemble des actes racistes non déclarés, qui échappent à la justice. Les chiffres du ministère de l’Intérieur ne représentant qu’une infime partie des actes racistes commis en France, la sous-déclaration massive du racisme contribue à entretenir une impunité face à ces actes, lèse les victimes et porte atteinte à la cohésion sociale. 1 million de personnes affirment avoir été victimes chaque année d’au moins une atteinte à caractère raciste, antisémite ou xénophobe, selon les estimations (Enquête «</w:t>
      </w:r>
      <w:r w:rsidR="007B68FF">
        <w:t> </w:t>
      </w:r>
      <w:r w:rsidRPr="00A37E0B">
        <w:t>Vécu et ressenti en matière de sécurité</w:t>
      </w:r>
      <w:r w:rsidR="007B68FF">
        <w:t> </w:t>
      </w:r>
      <w:r w:rsidRPr="00A37E0B">
        <w:t>» 2022). Selon la CNCDH, ce chiffre s’élève même à 1,2 million. Parallèlement, « en 2022, sur 6</w:t>
      </w:r>
      <w:r w:rsidR="007B68FF">
        <w:t> </w:t>
      </w:r>
      <w:r w:rsidRPr="00A37E0B">
        <w:t>607 personnes orientées par les parquets pour des infractions à caractères racistes, seules 1</w:t>
      </w:r>
      <w:r w:rsidR="007B68FF">
        <w:t> </w:t>
      </w:r>
      <w:r w:rsidRPr="00A37E0B">
        <w:t>606 personnes ont fait l’objet de poursuites devant les tribunaux. » Finalement, « 1</w:t>
      </w:r>
      <w:r w:rsidR="007B68FF">
        <w:t> </w:t>
      </w:r>
      <w:r w:rsidRPr="00A37E0B">
        <w:t xml:space="preserve">382 infractions à caractère raciste ou commises avec la circonstance aggravante de racisme ont fait l’objet d’une condamnation </w:t>
      </w:r>
      <w:r>
        <w:t>[</w:t>
      </w:r>
      <w:r w:rsidRPr="00A37E0B">
        <w:t>…</w:t>
      </w:r>
      <w:r>
        <w:t>]</w:t>
      </w:r>
      <w:r w:rsidRPr="00A37E0B">
        <w:t xml:space="preserve"> ». </w:t>
      </w:r>
    </w:p>
    <w:p w14:paraId="177665C4" w14:textId="77777777" w:rsidR="007E0E8C" w:rsidRPr="00A37E0B" w:rsidRDefault="007E0E8C" w:rsidP="00123702">
      <w:pPr>
        <w:pStyle w:val="Encadrdocument"/>
      </w:pPr>
      <w:r w:rsidRPr="00A37E0B">
        <w:t xml:space="preserve">Source : </w:t>
      </w:r>
    </w:p>
    <w:p w14:paraId="342AC3C1" w14:textId="77777777" w:rsidR="007E0E8C" w:rsidRDefault="00976CA2" w:rsidP="00123702">
      <w:pPr>
        <w:pStyle w:val="Encadrdocument"/>
      </w:pPr>
      <w:hyperlink r:id="rId24" w:history="1">
        <w:r w:rsidR="007E0E8C" w:rsidRPr="000B22FE">
          <w:rPr>
            <w:rStyle w:val="Lienhypertexte"/>
            <w:szCs w:val="18"/>
          </w:rPr>
          <w:t>https://www.cncdh.fr/actualite/lutte-contre-le-racisme-lantisemitisme-et-la-xenophobie-la-cncdh-publie-son-rapport-2024</w:t>
        </w:r>
      </w:hyperlink>
      <w:r w:rsidR="007E0E8C">
        <w:t xml:space="preserve"> </w:t>
      </w:r>
    </w:p>
    <w:p w14:paraId="30F81062" w14:textId="77777777" w:rsidR="007E0E8C" w:rsidRPr="00A37E0B" w:rsidRDefault="007E0E8C" w:rsidP="00123702">
      <w:pPr>
        <w:pStyle w:val="Encadrdocument"/>
        <w:rPr>
          <w:b/>
        </w:rPr>
      </w:pPr>
      <w:r w:rsidRPr="00A37E0B">
        <w:rPr>
          <w:b/>
          <w:szCs w:val="18"/>
        </w:rPr>
        <w:t>Sur l’évolution du sentiment de discrimination entre 2008 (TeO1) et 2022 (TeO2) :</w:t>
      </w:r>
    </w:p>
    <w:p w14:paraId="37994E34" w14:textId="77777777" w:rsidR="007E0E8C" w:rsidRPr="00133F57" w:rsidRDefault="007E0E8C" w:rsidP="00123702">
      <w:pPr>
        <w:pStyle w:val="Encadrdocument"/>
        <w:rPr>
          <w:b/>
        </w:rPr>
      </w:pPr>
      <w:r>
        <w:t>Voir notamment les infographies dans l’article « </w:t>
      </w:r>
      <w:hyperlink r:id="rId25" w:history="1">
        <w:r w:rsidRPr="009743F1">
          <w:rPr>
            <w:rStyle w:val="Lienhypertexte"/>
          </w:rPr>
          <w:t>Racisme, sexisme, islamophobie... Le sentiment de discrimination augmente en France, surtout chez les femmes </w:t>
        </w:r>
      </w:hyperlink>
      <w:r>
        <w:t xml:space="preserve">», </w:t>
      </w:r>
      <w:r>
        <w:rPr>
          <w:i/>
          <w:iCs/>
        </w:rPr>
        <w:t>France info</w:t>
      </w:r>
      <w:r>
        <w:t>, juillet 2022.</w:t>
      </w:r>
      <w:r w:rsidRPr="00C064A7">
        <w:t xml:space="preserve"> </w:t>
      </w:r>
    </w:p>
    <w:bookmarkEnd w:id="7"/>
    <w:p w14:paraId="48CDF223" w14:textId="1FCF027B" w:rsidR="00953A09" w:rsidRDefault="00953A09" w:rsidP="00123702">
      <w:pPr>
        <w:spacing w:before="100" w:beforeAutospacing="1"/>
      </w:pPr>
      <w:r>
        <w:t>Le travail se réalise en différents groupes, chargés d’une catégorie particulière de discrimination et/ou d’une source spécifique.</w:t>
      </w:r>
    </w:p>
    <w:p w14:paraId="3C3BE4A7" w14:textId="0D980D41" w:rsidR="000B2715" w:rsidRDefault="000B2715" w:rsidP="00123702">
      <w:pPr>
        <w:pStyle w:val="Titre2"/>
      </w:pPr>
      <w:r>
        <w:t xml:space="preserve">Deuxième partie : </w:t>
      </w:r>
      <w:r w:rsidR="00123702">
        <w:t>r</w:t>
      </w:r>
      <w:r>
        <w:t>éprimer, comment la République agit par le droit contre les agissements qui portent atteinte à ses valeurs et à la cohésion sociale.</w:t>
      </w:r>
    </w:p>
    <w:p w14:paraId="3937BDE9" w14:textId="459BA2FB" w:rsidR="000B2715" w:rsidRDefault="00953A09" w:rsidP="00123702">
      <w:pPr>
        <w:pStyle w:val="Titre3"/>
      </w:pPr>
      <w:r>
        <w:t>Des exemples de décisions de justice qui peuvent servir à l’étude</w:t>
      </w:r>
    </w:p>
    <w:p w14:paraId="12FF66A0" w14:textId="10271123" w:rsidR="00953A09" w:rsidRDefault="007B68FF" w:rsidP="00891A98">
      <w:pPr>
        <w:pStyle w:val="Encadrdocument"/>
      </w:pPr>
      <w:r>
        <w:rPr>
          <w:b/>
        </w:rPr>
        <w:t>– </w:t>
      </w:r>
      <w:r w:rsidR="00953A09" w:rsidRPr="00123702">
        <w:rPr>
          <w:b/>
          <w:color w:val="22557A"/>
        </w:rPr>
        <w:t>L’injure à caractère raciste</w:t>
      </w:r>
      <w:r w:rsidR="00953A09" w:rsidRPr="00123702">
        <w:rPr>
          <w:color w:val="22557A"/>
        </w:rPr>
        <w:t> </w:t>
      </w:r>
      <w:r w:rsidR="00953A09">
        <w:t xml:space="preserve">: </w:t>
      </w:r>
      <w:r w:rsidR="00953A09" w:rsidRPr="00F471A6">
        <w:t>«</w:t>
      </w:r>
      <w:r>
        <w:t> </w:t>
      </w:r>
      <w:r w:rsidR="00953A09" w:rsidRPr="00F471A6">
        <w:t>Pour une fois, je me suis mis à travailler comme un nègre. Je ne sais pas si les nègres ont toujours tellement travaillé, mais enfin…</w:t>
      </w:r>
      <w:r>
        <w:t> </w:t>
      </w:r>
      <w:r w:rsidR="00953A09" w:rsidRPr="00F471A6">
        <w:t xml:space="preserve">» </w:t>
      </w:r>
      <w:r w:rsidR="00953A09">
        <w:t xml:space="preserve">(Jean-Paul Guerlain, condamné définitivement le 29 mars 2012). </w:t>
      </w:r>
    </w:p>
    <w:p w14:paraId="6B10BDC5" w14:textId="536A6DAF" w:rsidR="00953A09" w:rsidRDefault="007B68FF" w:rsidP="00891A98">
      <w:pPr>
        <w:pStyle w:val="Encadrdocument"/>
      </w:pPr>
      <w:r>
        <w:t>– </w:t>
      </w:r>
      <w:r w:rsidR="00953A09" w:rsidRPr="006A45D1">
        <w:rPr>
          <w:b/>
          <w:color w:val="22557A"/>
        </w:rPr>
        <w:t>La diffamation à caractère raciste</w:t>
      </w:r>
      <w:r w:rsidR="00953A09">
        <w:rPr>
          <w:b/>
          <w:color w:val="22557A"/>
        </w:rPr>
        <w:t xml:space="preserve"> : </w:t>
      </w:r>
      <w:r w:rsidR="00953A09">
        <w:t>à propos des migrants mineurs isolés,</w:t>
      </w:r>
      <w:r w:rsidR="00953A09" w:rsidRPr="00660A5C">
        <w:t xml:space="preserve"> </w:t>
      </w:r>
      <w:r w:rsidR="00953A09">
        <w:t>« </w:t>
      </w:r>
      <w:r w:rsidR="00953A09" w:rsidRPr="00660A5C">
        <w:t>[Ils] sont tous des voleurs, ils sont tous des assassins, ils sont tous de</w:t>
      </w:r>
      <w:r w:rsidR="00953A09">
        <w:t>s</w:t>
      </w:r>
      <w:r w:rsidR="00953A09" w:rsidRPr="00660A5C">
        <w:t xml:space="preserve"> violeurs.</w:t>
      </w:r>
      <w:r w:rsidR="00953A09">
        <w:t xml:space="preserve"> » </w:t>
      </w:r>
      <w:r w:rsidR="00953A09" w:rsidRPr="00660A5C">
        <w:t>Éric Zemmour</w:t>
      </w:r>
      <w:r w:rsidR="00953A09">
        <w:t xml:space="preserve"> (condamné définitivement le 12 septembre 2024) ou </w:t>
      </w:r>
      <w:r w:rsidR="00953A09" w:rsidRPr="008B412C">
        <w:t>«</w:t>
      </w:r>
      <w:r>
        <w:t> </w:t>
      </w:r>
      <w:r w:rsidR="00953A09" w:rsidRPr="008B412C">
        <w:t xml:space="preserve">le génocide des juifs était sans doute plus criminel mais paraît tout de même un peu petit bras auprès du </w:t>
      </w:r>
      <w:proofErr w:type="spellStart"/>
      <w:r w:rsidR="00953A09" w:rsidRPr="008B412C">
        <w:t>remplacisme</w:t>
      </w:r>
      <w:proofErr w:type="spellEnd"/>
      <w:r w:rsidR="00953A09" w:rsidRPr="008B412C">
        <w:t xml:space="preserve"> global</w:t>
      </w:r>
      <w:r>
        <w:t> </w:t>
      </w:r>
      <w:r w:rsidR="00953A09" w:rsidRPr="008B412C">
        <w:t>»</w:t>
      </w:r>
      <w:r w:rsidR="00953A09">
        <w:t>. (Renaud Camus,</w:t>
      </w:r>
      <w:r w:rsidR="00953A09" w:rsidRPr="008B412C">
        <w:t xml:space="preserve"> condamné </w:t>
      </w:r>
      <w:r w:rsidR="00953A09">
        <w:t xml:space="preserve">définitivement </w:t>
      </w:r>
      <w:r w:rsidR="00953A09" w:rsidRPr="008B412C">
        <w:t>le 16 janvier 2020</w:t>
      </w:r>
      <w:r w:rsidR="00953A09">
        <w:t>).</w:t>
      </w:r>
    </w:p>
    <w:p w14:paraId="7C4D30DD" w14:textId="4FE4D7D1" w:rsidR="00953A09" w:rsidRDefault="007B68FF" w:rsidP="00891A98">
      <w:pPr>
        <w:pStyle w:val="Encadrdocument"/>
      </w:pPr>
      <w:r>
        <w:rPr>
          <w:b/>
          <w:color w:val="22557A"/>
        </w:rPr>
        <w:t>– </w:t>
      </w:r>
      <w:r w:rsidR="00953A09" w:rsidRPr="006A45D1">
        <w:rPr>
          <w:b/>
          <w:color w:val="22557A"/>
        </w:rPr>
        <w:t>L’apologie des crimes de guerre et des crimes contre l’humanité</w:t>
      </w:r>
      <w:r w:rsidR="00953A09">
        <w:rPr>
          <w:b/>
          <w:color w:val="22557A"/>
        </w:rPr>
        <w:t> :</w:t>
      </w:r>
      <w:r w:rsidR="00953A09">
        <w:t xml:space="preserve"> </w:t>
      </w:r>
      <w:r w:rsidR="00953A09" w:rsidRPr="00D352FB">
        <w:t>«</w:t>
      </w:r>
      <w:r>
        <w:t> </w:t>
      </w:r>
      <w:r w:rsidR="00953A09" w:rsidRPr="00D352FB">
        <w:t>Tu vois, lui, si le vent tourne, je ne suis pas sûr qu’il ait le temps de faire sa valise. Quand je l’entends parler, XX, je me dis, tu vois, les chambres à gaz… Dommage.</w:t>
      </w:r>
      <w:r>
        <w:t> </w:t>
      </w:r>
      <w:r w:rsidR="00953A09" w:rsidRPr="00D352FB">
        <w:t>»</w:t>
      </w:r>
      <w:r w:rsidR="00953A09">
        <w:t xml:space="preserve"> (Dieudonné, condamné définitivement en avril 2016, à propos d’un journaliste d’origine, de confession ou de culture juive).</w:t>
      </w:r>
    </w:p>
    <w:p w14:paraId="385889B1" w14:textId="057A9305" w:rsidR="00953A09" w:rsidRDefault="007B68FF" w:rsidP="00891A98">
      <w:pPr>
        <w:pStyle w:val="Encadrdocument"/>
      </w:pPr>
      <w:r>
        <w:rPr>
          <w:b/>
          <w:color w:val="22557A"/>
        </w:rPr>
        <w:lastRenderedPageBreak/>
        <w:t>– </w:t>
      </w:r>
      <w:r w:rsidR="00953A09" w:rsidRPr="006A45D1">
        <w:rPr>
          <w:b/>
          <w:color w:val="22557A"/>
        </w:rPr>
        <w:t>Le négationnisme</w:t>
      </w:r>
      <w:r w:rsidR="00953A09">
        <w:rPr>
          <w:b/>
          <w:color w:val="22557A"/>
        </w:rPr>
        <w:t xml:space="preserve"> : </w:t>
      </w:r>
      <w:r w:rsidR="00953A09">
        <w:t>« </w:t>
      </w:r>
      <w:r w:rsidR="00953A09" w:rsidRPr="00D352FB">
        <w:t>Je ne dis pas que les chambres à gaz n</w:t>
      </w:r>
      <w:r w:rsidR="00953A09">
        <w:t>’</w:t>
      </w:r>
      <w:r w:rsidR="00953A09" w:rsidRPr="00D352FB">
        <w:t>ont pas existé, je n</w:t>
      </w:r>
      <w:r w:rsidR="00953A09">
        <w:t>’</w:t>
      </w:r>
      <w:r w:rsidR="00953A09" w:rsidRPr="00D352FB">
        <w:t>ai pas pu moi-même en voir, je n</w:t>
      </w:r>
      <w:r w:rsidR="00953A09">
        <w:t>’</w:t>
      </w:r>
      <w:r w:rsidR="00953A09" w:rsidRPr="00D352FB">
        <w:t>ai pas étudié spécialement la question, mais je crois que c</w:t>
      </w:r>
      <w:r w:rsidR="00953A09">
        <w:t>’</w:t>
      </w:r>
      <w:r w:rsidR="00953A09" w:rsidRPr="00D352FB">
        <w:t>est un point de détail de l</w:t>
      </w:r>
      <w:r w:rsidR="00953A09">
        <w:t>’</w:t>
      </w:r>
      <w:r w:rsidR="00953A09" w:rsidRPr="00D352FB">
        <w:t>histoire de la Deuxième Guerre mondiale.</w:t>
      </w:r>
      <w:r w:rsidR="00953A09">
        <w:t> » (Jean-Marie Le Pen, condamné définitivement en mars 2018).</w:t>
      </w:r>
    </w:p>
    <w:p w14:paraId="37A72B6F" w14:textId="67BA1671" w:rsidR="00953A09" w:rsidRPr="0048178F" w:rsidRDefault="007B68FF" w:rsidP="00891A98">
      <w:pPr>
        <w:pStyle w:val="Encadrdocument"/>
      </w:pPr>
      <w:r>
        <w:rPr>
          <w:b/>
          <w:color w:val="22557A"/>
        </w:rPr>
        <w:t>– </w:t>
      </w:r>
      <w:r w:rsidR="00953A09" w:rsidRPr="006A45D1">
        <w:rPr>
          <w:b/>
          <w:color w:val="22557A"/>
        </w:rPr>
        <w:t>L’homophobie</w:t>
      </w:r>
      <w:r w:rsidR="00953A09">
        <w:rPr>
          <w:b/>
          <w:color w:val="22557A"/>
        </w:rPr>
        <w:t xml:space="preserve"> : </w:t>
      </w:r>
      <w:r w:rsidR="00953A09" w:rsidRPr="0048178F">
        <w:t xml:space="preserve">dans l’affaire du cyberharcèlement du chanteur Eddy de </w:t>
      </w:r>
      <w:proofErr w:type="spellStart"/>
      <w:r w:rsidR="00953A09" w:rsidRPr="0048178F">
        <w:t>Pretto</w:t>
      </w:r>
      <w:proofErr w:type="spellEnd"/>
      <w:r w:rsidR="00953A09" w:rsidRPr="0048178F">
        <w:t>, onze personnes ont été condamnées à des peines de 3 à 6 mois de prison avec sursis pour injures homophobes et menaces de mort pour ce type de propos : « Espèce de gigantesque fiotte</w:t>
      </w:r>
      <w:r>
        <w:t> </w:t>
      </w:r>
      <w:r w:rsidR="00953A09" w:rsidRPr="0048178F">
        <w:t>», «</w:t>
      </w:r>
      <w:r>
        <w:t> </w:t>
      </w:r>
      <w:r w:rsidR="00953A09" w:rsidRPr="0048178F">
        <w:t>crève en enfer sale chien</w:t>
      </w:r>
      <w:r>
        <w:t> </w:t>
      </w:r>
      <w:r w:rsidR="00953A09" w:rsidRPr="0048178F">
        <w:t>», «</w:t>
      </w:r>
      <w:r>
        <w:t> </w:t>
      </w:r>
      <w:r w:rsidR="00953A09" w:rsidRPr="0048178F">
        <w:t>gros sac à merde à souiller notre religion », « nous serons là à chaque date pour te rappeler que l</w:t>
      </w:r>
      <w:r w:rsidR="00953A09">
        <w:t>’</w:t>
      </w:r>
      <w:r w:rsidR="00953A09" w:rsidRPr="0048178F">
        <w:t>armée de Dieu ne laisse pas ce genre de blasphème impuni », « à bas la République qui nous fabrique des sous-hommes de cette espèce » (condamnés définitivement le 12 décembre 2022).</w:t>
      </w:r>
    </w:p>
    <w:p w14:paraId="233A1CE4" w14:textId="1FB0777E" w:rsidR="00953A09" w:rsidRPr="0048178F" w:rsidRDefault="007B68FF" w:rsidP="00891A98">
      <w:pPr>
        <w:pStyle w:val="Encadrdocument"/>
      </w:pPr>
      <w:r>
        <w:rPr>
          <w:b/>
          <w:color w:val="22557A"/>
        </w:rPr>
        <w:t>– </w:t>
      </w:r>
      <w:r w:rsidR="00953A09" w:rsidRPr="006A45D1">
        <w:rPr>
          <w:b/>
          <w:color w:val="22557A"/>
        </w:rPr>
        <w:t>La transphobie</w:t>
      </w:r>
      <w:r w:rsidR="00953A09">
        <w:rPr>
          <w:b/>
          <w:color w:val="22557A"/>
        </w:rPr>
        <w:t xml:space="preserve"> : </w:t>
      </w:r>
      <w:r w:rsidR="00953A09" w:rsidRPr="0048178F">
        <w:t>un gynécologue de Pau a été sanctionné par la chambre disciplinaire de l</w:t>
      </w:r>
      <w:r w:rsidR="00953A09">
        <w:t>’</w:t>
      </w:r>
      <w:r w:rsidR="00953A09" w:rsidRPr="0048178F">
        <w:t>Ordre régional des médecins de Nouvelle-Aquitaine le 16 janvier 2025 pour avoir refusé de recevoir en consultation une personne transgenre, au nom du fait qu’il ne recevait que des « vraies femmes » (condamnation à une interdiction d</w:t>
      </w:r>
      <w:r w:rsidR="00953A09">
        <w:t>’</w:t>
      </w:r>
      <w:r w:rsidR="00953A09" w:rsidRPr="0048178F">
        <w:t>exercer de six mois, dont cinq mois avec sursis, applicable du 1</w:t>
      </w:r>
      <w:r w:rsidR="00953A09" w:rsidRPr="0048178F">
        <w:rPr>
          <w:vertAlign w:val="superscript"/>
        </w:rPr>
        <w:t>er</w:t>
      </w:r>
      <w:r w:rsidR="00953A09" w:rsidRPr="0048178F">
        <w:t xml:space="preserve"> au 31 mars 2025. À ce jour, il n</w:t>
      </w:r>
      <w:r w:rsidR="00953A09">
        <w:t>’</w:t>
      </w:r>
      <w:r w:rsidR="00953A09" w:rsidRPr="0048178F">
        <w:t>y a pas d</w:t>
      </w:r>
      <w:r w:rsidR="00953A09">
        <w:t>’</w:t>
      </w:r>
      <w:r w:rsidR="00953A09" w:rsidRPr="0048178F">
        <w:t>information publique confirmant que le médecin ait fait appel de cette décision).</w:t>
      </w:r>
    </w:p>
    <w:p w14:paraId="1649BCF1" w14:textId="382E5C57" w:rsidR="000B2715" w:rsidRPr="00112F37" w:rsidRDefault="000B2715" w:rsidP="00123702">
      <w:pPr>
        <w:pStyle w:val="Titre2"/>
      </w:pPr>
      <w:r>
        <w:t xml:space="preserve">Troisième partie : </w:t>
      </w:r>
      <w:r w:rsidR="00123702">
        <w:t>p</w:t>
      </w:r>
      <w:r>
        <w:t xml:space="preserve">rotéger et garantir, comment la République assure et développe des droits en s’appuyant sur ses valeurs et ses principes pour permettre de construire une société inclusive </w:t>
      </w:r>
    </w:p>
    <w:p w14:paraId="1C8EFD28" w14:textId="77777777" w:rsidR="000B2715" w:rsidRPr="00735DA7" w:rsidRDefault="000B2715" w:rsidP="00891A98">
      <w:pPr>
        <w:pStyle w:val="Encadrdocumenttitre"/>
      </w:pPr>
      <w:r w:rsidRPr="00735DA7">
        <w:t>Support</w:t>
      </w:r>
      <w:r>
        <w:t>s</w:t>
      </w:r>
      <w:r w:rsidRPr="00735DA7">
        <w:t xml:space="preserve"> documentaire</w:t>
      </w:r>
      <w:r>
        <w:t>s</w:t>
      </w:r>
    </w:p>
    <w:p w14:paraId="783CC43F" w14:textId="77777777" w:rsidR="00953A09" w:rsidRPr="00433372" w:rsidRDefault="00953A09" w:rsidP="00891A98">
      <w:pPr>
        <w:pStyle w:val="Encadrdocument"/>
      </w:pPr>
      <w:r w:rsidRPr="00433372">
        <w:t>Préambule de la Constitution de 1946 (</w:t>
      </w:r>
      <w:r>
        <w:t>extrait</w:t>
      </w:r>
      <w:r w:rsidRPr="00433372">
        <w:t>)</w:t>
      </w:r>
    </w:p>
    <w:p w14:paraId="4E419175" w14:textId="61B49AF5" w:rsidR="00953A09" w:rsidRPr="00595A87" w:rsidRDefault="00953A09" w:rsidP="00891A98">
      <w:pPr>
        <w:pStyle w:val="Encadrdocument"/>
      </w:pPr>
      <w:r w:rsidRPr="00595A87">
        <w:t>«</w:t>
      </w:r>
      <w:r w:rsidR="007B68FF">
        <w:t> </w:t>
      </w:r>
      <w:r w:rsidRPr="00595A87">
        <w:t>10. La Nation assure à l</w:t>
      </w:r>
      <w:r>
        <w:t>’</w:t>
      </w:r>
      <w:r w:rsidRPr="00595A87">
        <w:t>individu et à la famille les conditions nécessaires à leur développement.</w:t>
      </w:r>
    </w:p>
    <w:p w14:paraId="447616FC" w14:textId="77777777" w:rsidR="00953A09" w:rsidRPr="00647145" w:rsidRDefault="00953A09" w:rsidP="00891A98">
      <w:pPr>
        <w:pStyle w:val="Encadrdocument"/>
      </w:pPr>
      <w:r w:rsidRPr="00595A87">
        <w:t>11. Elle garantit à tous, notamment à l</w:t>
      </w:r>
      <w:r>
        <w:t>’</w:t>
      </w:r>
      <w:r w:rsidRPr="00595A87">
        <w:t xml:space="preserve">enfant, à </w:t>
      </w:r>
      <w:r w:rsidRPr="00647145">
        <w:t>la mère et aux vieux travailleurs, la protection de la santé, la sécurité matérielle, le repos et les loisirs. Tout être humain qui, en raison de son âge, de son état physique ou mental, de la situation économique, se trouve dans l</w:t>
      </w:r>
      <w:r>
        <w:t>’</w:t>
      </w:r>
      <w:r w:rsidRPr="00647145">
        <w:t>incapacité de travailler a le droit d</w:t>
      </w:r>
      <w:r>
        <w:t>’</w:t>
      </w:r>
      <w:r w:rsidRPr="00647145">
        <w:t>obtenir de la collectivité des moyens convenables d</w:t>
      </w:r>
      <w:r>
        <w:t>’</w:t>
      </w:r>
      <w:r w:rsidRPr="00647145">
        <w:t>existence.</w:t>
      </w:r>
    </w:p>
    <w:p w14:paraId="015CA774" w14:textId="77777777" w:rsidR="00953A09" w:rsidRPr="00647145" w:rsidRDefault="00953A09" w:rsidP="00891A98">
      <w:pPr>
        <w:pStyle w:val="Encadrdocument"/>
      </w:pPr>
      <w:r w:rsidRPr="00647145">
        <w:t>12. La Nation proclame la solidarité et l</w:t>
      </w:r>
      <w:r>
        <w:t>’</w:t>
      </w:r>
      <w:r w:rsidRPr="00647145">
        <w:t>égalité de tous les Français devant les charges qui résultent des calamités nationales.</w:t>
      </w:r>
    </w:p>
    <w:p w14:paraId="5A90C1D0" w14:textId="4BA597C7" w:rsidR="00953A09" w:rsidRDefault="00953A09" w:rsidP="00891A98">
      <w:pPr>
        <w:pStyle w:val="Encadrdocument"/>
      </w:pPr>
      <w:r w:rsidRPr="00647145">
        <w:t>13. La Nation garantit l</w:t>
      </w:r>
      <w:r>
        <w:t>’</w:t>
      </w:r>
      <w:r w:rsidRPr="00647145">
        <w:t>égal accès de l</w:t>
      </w:r>
      <w:r>
        <w:t>’</w:t>
      </w:r>
      <w:r w:rsidRPr="00647145">
        <w:t>enfant et de l</w:t>
      </w:r>
      <w:r>
        <w:t>’</w:t>
      </w:r>
      <w:r w:rsidRPr="00647145">
        <w:t>adulte à l</w:t>
      </w:r>
      <w:r>
        <w:t>’</w:t>
      </w:r>
      <w:r w:rsidRPr="00647145">
        <w:t>instruction, à la formation professionnelle et à la culture. L</w:t>
      </w:r>
      <w:r>
        <w:t>’</w:t>
      </w:r>
      <w:r w:rsidRPr="00647145">
        <w:t>organisation de l</w:t>
      </w:r>
      <w:r>
        <w:t>’</w:t>
      </w:r>
      <w:r w:rsidRPr="00647145">
        <w:t>enseignement public gratuit et laïque à tous les degrés est un devoir de l</w:t>
      </w:r>
      <w:r>
        <w:t>’</w:t>
      </w:r>
      <w:r w:rsidRPr="00647145">
        <w:t>État.</w:t>
      </w:r>
      <w:r w:rsidR="007B68FF">
        <w:t> </w:t>
      </w:r>
      <w:r w:rsidRPr="00647145">
        <w:t>»</w:t>
      </w:r>
    </w:p>
    <w:p w14:paraId="7FF918A4" w14:textId="77777777" w:rsidR="00953A09" w:rsidRPr="00433372" w:rsidRDefault="00953A09" w:rsidP="00123702">
      <w:pPr>
        <w:pStyle w:val="Encadrdocument"/>
        <w:spacing w:before="120"/>
      </w:pPr>
      <w:r w:rsidRPr="00433372">
        <w:t>Sur les fonctions sociales de l’État et des collectivités</w:t>
      </w:r>
    </w:p>
    <w:p w14:paraId="12333E4C" w14:textId="77777777" w:rsidR="00953A09" w:rsidRPr="00595A87" w:rsidRDefault="00953A09" w:rsidP="00891A98">
      <w:pPr>
        <w:pStyle w:val="Encadrdocument"/>
      </w:pPr>
      <w:r>
        <w:t>« </w:t>
      </w:r>
      <w:hyperlink r:id="rId26" w:anchor="H1.L2019C9tat2Cmoteurimportantdespolitiquessociales" w:history="1">
        <w:r w:rsidRPr="00647145">
          <w:rPr>
            <w:rStyle w:val="Lienhypertexte"/>
          </w:rPr>
          <w:t>L</w:t>
        </w:r>
        <w:r>
          <w:rPr>
            <w:rStyle w:val="Lienhypertexte"/>
          </w:rPr>
          <w:t>’É</w:t>
        </w:r>
        <w:r w:rsidRPr="00647145">
          <w:rPr>
            <w:rStyle w:val="Lienhypertexte"/>
          </w:rPr>
          <w:t>tat garant de la solidarité nationale </w:t>
        </w:r>
      </w:hyperlink>
      <w:r>
        <w:t xml:space="preserve">», </w:t>
      </w:r>
      <w:r w:rsidRPr="00595A87">
        <w:t>C</w:t>
      </w:r>
      <w:r>
        <w:t>entre national de la fonction publique territoriale, 2023.</w:t>
      </w:r>
    </w:p>
    <w:p w14:paraId="52E9A0AE" w14:textId="77777777" w:rsidR="00953A09" w:rsidRPr="00595A87" w:rsidRDefault="00953A09" w:rsidP="00891A98">
      <w:pPr>
        <w:pStyle w:val="Encadrdocument"/>
      </w:pPr>
      <w:r w:rsidRPr="00433372">
        <w:t xml:space="preserve">Ministère du </w:t>
      </w:r>
      <w:r>
        <w:t>T</w:t>
      </w:r>
      <w:r w:rsidRPr="00433372">
        <w:t xml:space="preserve">ravail, de la </w:t>
      </w:r>
      <w:r>
        <w:t>S</w:t>
      </w:r>
      <w:r w:rsidRPr="00433372">
        <w:t xml:space="preserve">anté, des </w:t>
      </w:r>
      <w:r>
        <w:t>S</w:t>
      </w:r>
      <w:r w:rsidRPr="00433372">
        <w:t xml:space="preserve">olidarités et des </w:t>
      </w:r>
      <w:r>
        <w:t>F</w:t>
      </w:r>
      <w:r w:rsidRPr="00433372">
        <w:t>amilles</w:t>
      </w:r>
      <w:r>
        <w:t xml:space="preserve"> : </w:t>
      </w:r>
      <w:hyperlink r:id="rId27" w:history="1">
        <w:r w:rsidRPr="00433372">
          <w:rPr>
            <w:rStyle w:val="Lienhypertexte"/>
          </w:rPr>
          <w:t>https://solidarites.gouv.fr/</w:t>
        </w:r>
      </w:hyperlink>
      <w:r>
        <w:t xml:space="preserve"> </w:t>
      </w:r>
      <w:r w:rsidRPr="00595A87">
        <w:t xml:space="preserve"> </w:t>
      </w:r>
    </w:p>
    <w:p w14:paraId="67C62074" w14:textId="77777777" w:rsidR="00953A09" w:rsidRPr="00595A87" w:rsidRDefault="00953A09" w:rsidP="00891A98">
      <w:pPr>
        <w:pStyle w:val="Encadrdocument"/>
      </w:pPr>
      <w:r w:rsidRPr="00595A87" w:rsidDel="00647145">
        <w:t xml:space="preserve"> </w:t>
      </w:r>
      <w:r>
        <w:t>« </w:t>
      </w:r>
      <w:hyperlink r:id="rId28" w:history="1">
        <w:r w:rsidRPr="00647145">
          <w:rPr>
            <w:rStyle w:val="Lienhypertexte"/>
          </w:rPr>
          <w:t>Qu’est-ce que la protection sociale</w:t>
        </w:r>
      </w:hyperlink>
      <w:r>
        <w:t> ? », fiche thématique sur v</w:t>
      </w:r>
      <w:r w:rsidRPr="00595A87">
        <w:t>ie-publique</w:t>
      </w:r>
      <w:r>
        <w:t>.fr, 23 juillet 2024.</w:t>
      </w:r>
    </w:p>
    <w:p w14:paraId="2DABD637" w14:textId="77777777" w:rsidR="00244CB3" w:rsidRDefault="00244CB3" w:rsidP="00123702">
      <w:pPr>
        <w:pStyle w:val="Titre1"/>
        <w:rPr>
          <w:rStyle w:val="Titre1Car"/>
        </w:rPr>
      </w:pPr>
      <w:bookmarkStart w:id="8" w:name="_Toc210375378"/>
      <w:r>
        <w:rPr>
          <w:rStyle w:val="Titre1Car"/>
        </w:rPr>
        <w:t>La République et la Nation [9 heures]</w:t>
      </w:r>
      <w:bookmarkEnd w:id="8"/>
    </w:p>
    <w:p w14:paraId="104339A2" w14:textId="77777777" w:rsidR="00123702" w:rsidRPr="00123702" w:rsidRDefault="00123702" w:rsidP="00123702"/>
    <w:p w14:paraId="69BDA157" w14:textId="77777777" w:rsidR="00244CB3" w:rsidRPr="002C5741" w:rsidRDefault="00244CB3" w:rsidP="002655CF">
      <w:pPr>
        <w:pStyle w:val="Titre2"/>
      </w:pPr>
      <w:bookmarkStart w:id="9" w:name="_Toc210375382"/>
      <w:r w:rsidRPr="002C5741">
        <w:lastRenderedPageBreak/>
        <w:t>Proposition d’activité : la place des langues régionales dans l’indivisibilité de la République</w:t>
      </w:r>
      <w:r>
        <w:t>,</w:t>
      </w:r>
      <w:r w:rsidRPr="002C5741">
        <w:t xml:space="preserve"> quelle reconnaissance ?</w:t>
      </w:r>
      <w:bookmarkEnd w:id="9"/>
      <w:r w:rsidRPr="002C5741">
        <w:t xml:space="preserve">   </w:t>
      </w:r>
    </w:p>
    <w:p w14:paraId="4DCE5A52" w14:textId="77777777" w:rsidR="00244CB3" w:rsidRPr="002C5741" w:rsidRDefault="00244CB3" w:rsidP="00891A98">
      <w:pPr>
        <w:pStyle w:val="Encadrdocumenttitre"/>
      </w:pPr>
      <w:r w:rsidRPr="002C5741">
        <w:t>Documents supports</w:t>
      </w:r>
    </w:p>
    <w:p w14:paraId="006BD99A" w14:textId="77777777" w:rsidR="00244CB3" w:rsidRDefault="00244CB3" w:rsidP="007B68FF">
      <w:pPr>
        <w:pStyle w:val="Encadrdocument"/>
        <w:numPr>
          <w:ilvl w:val="0"/>
          <w:numId w:val="5"/>
        </w:numPr>
      </w:pPr>
      <w:r w:rsidRPr="002C5741">
        <w:t>Sanna Josette</w:t>
      </w:r>
      <w:r>
        <w:t>,</w:t>
      </w:r>
      <w:r w:rsidRPr="002C5741">
        <w:t xml:space="preserve"> « </w:t>
      </w:r>
      <w:hyperlink r:id="rId29" w:history="1">
        <w:r w:rsidRPr="00BF0511">
          <w:rPr>
            <w:rStyle w:val="Lienhypertexte"/>
          </w:rPr>
          <w:t>L’usage du catalan interdit dans les conseils municipaux, la justice donne raison au préfet des Pyrénées-Orientales </w:t>
        </w:r>
      </w:hyperlink>
      <w:r w:rsidRPr="002C5741">
        <w:t>»</w:t>
      </w:r>
      <w:r>
        <w:t>,</w:t>
      </w:r>
      <w:r w:rsidRPr="002C5741">
        <w:t xml:space="preserve"> France3-regionsfrancetvinfo.fr, 9 Mai 2023</w:t>
      </w:r>
      <w:r>
        <w:t>,</w:t>
      </w:r>
    </w:p>
    <w:p w14:paraId="272D5F5E" w14:textId="26114A9D" w:rsidR="00244CB3" w:rsidRDefault="00244CB3" w:rsidP="007B68FF">
      <w:pPr>
        <w:pStyle w:val="Encadrdocument"/>
        <w:numPr>
          <w:ilvl w:val="0"/>
          <w:numId w:val="5"/>
        </w:numPr>
      </w:pPr>
      <w:r w:rsidRPr="00244CB3">
        <w:t>Article Premier, de la Constitution de la V</w:t>
      </w:r>
      <w:r w:rsidRPr="00123702">
        <w:rPr>
          <w:vertAlign w:val="superscript"/>
        </w:rPr>
        <w:t>e</w:t>
      </w:r>
      <w:r w:rsidRPr="00244CB3">
        <w:t xml:space="preserve"> République, </w:t>
      </w:r>
      <w:r w:rsidR="00123702">
        <w:br/>
      </w:r>
      <w:r>
        <w:t>La France est une République indivisible, laïque, démocratique et sociale. Elle assure l</w:t>
      </w:r>
      <w:r w:rsidR="007B68FF">
        <w:t>’</w:t>
      </w:r>
      <w:r>
        <w:t>égalité devant la loi de tous les citoyens sans distinction d</w:t>
      </w:r>
      <w:r w:rsidR="007B68FF">
        <w:t>’</w:t>
      </w:r>
      <w:r>
        <w:t>origine, de race ou de religion. Elle respecte toutes les croyances. Son organisation est décentralisée.</w:t>
      </w:r>
      <w:r w:rsidR="00123702">
        <w:br/>
      </w:r>
      <w:r>
        <w:t>La loi favorise l</w:t>
      </w:r>
      <w:r w:rsidR="007B68FF">
        <w:t>’</w:t>
      </w:r>
      <w:r>
        <w:t>égal accès des femmes et des hommes aux mandats électoraux et fonctions électives, ainsi qu</w:t>
      </w:r>
      <w:r w:rsidR="007B68FF">
        <w:t>’</w:t>
      </w:r>
      <w:r>
        <w:t>aux responsabilités professionnelles et sociales.</w:t>
      </w:r>
    </w:p>
    <w:p w14:paraId="707D4297" w14:textId="2BCCA365" w:rsidR="00244CB3" w:rsidRDefault="00244CB3" w:rsidP="007B68FF">
      <w:pPr>
        <w:pStyle w:val="Encadrdocument"/>
        <w:numPr>
          <w:ilvl w:val="0"/>
          <w:numId w:val="6"/>
        </w:numPr>
      </w:pPr>
      <w:r w:rsidRPr="00244CB3">
        <w:t>Article</w:t>
      </w:r>
      <w:r w:rsidR="007B68FF">
        <w:t> </w:t>
      </w:r>
      <w:r w:rsidRPr="00244CB3">
        <w:t>2</w:t>
      </w:r>
      <w:r w:rsidR="00123702">
        <w:br/>
      </w:r>
      <w:r>
        <w:t>La langue de la République est le français.</w:t>
      </w:r>
      <w:r w:rsidR="00123702">
        <w:br/>
      </w:r>
      <w:r>
        <w:t>L</w:t>
      </w:r>
      <w:r w:rsidR="007B68FF">
        <w:t>’</w:t>
      </w:r>
      <w:r>
        <w:t>emblème national est le drapeau tricolore, bleu, blanc, rouge.</w:t>
      </w:r>
      <w:r w:rsidR="00123702">
        <w:br/>
      </w:r>
      <w:r>
        <w:t>L</w:t>
      </w:r>
      <w:r w:rsidR="007B68FF">
        <w:t>’</w:t>
      </w:r>
      <w:r>
        <w:t>hymne national est «</w:t>
      </w:r>
      <w:r w:rsidR="007B68FF">
        <w:t> </w:t>
      </w:r>
      <w:r>
        <w:t>La Marseillaise</w:t>
      </w:r>
      <w:r w:rsidR="007B68FF">
        <w:t> </w:t>
      </w:r>
      <w:r>
        <w:t>».</w:t>
      </w:r>
      <w:r w:rsidR="00123702">
        <w:br/>
      </w:r>
      <w:r>
        <w:t>La devise de la République est «</w:t>
      </w:r>
      <w:r w:rsidR="007B68FF">
        <w:t> </w:t>
      </w:r>
      <w:r>
        <w:t>Liberté, Égalité, Fraternité</w:t>
      </w:r>
      <w:r w:rsidR="007B68FF">
        <w:t> </w:t>
      </w:r>
      <w:r>
        <w:t>».</w:t>
      </w:r>
      <w:r w:rsidR="00123702">
        <w:br/>
      </w:r>
      <w:r>
        <w:t>Son principe est</w:t>
      </w:r>
      <w:r w:rsidR="007B68FF">
        <w:t> </w:t>
      </w:r>
      <w:r>
        <w:t>: gouvernement du peuple, par le peuple et pour le peuple.</w:t>
      </w:r>
    </w:p>
    <w:p w14:paraId="2D4BBC46" w14:textId="21F7D03C" w:rsidR="00244CB3" w:rsidRDefault="00244CB3" w:rsidP="007B68FF">
      <w:pPr>
        <w:pStyle w:val="Encadrdocument"/>
        <w:numPr>
          <w:ilvl w:val="0"/>
          <w:numId w:val="5"/>
        </w:numPr>
      </w:pPr>
      <w:r w:rsidRPr="00244CB3">
        <w:t>Article</w:t>
      </w:r>
      <w:r w:rsidR="007B68FF">
        <w:t> </w:t>
      </w:r>
      <w:r w:rsidRPr="00244CB3">
        <w:t>75-1 de la Constitution,</w:t>
      </w:r>
      <w:r w:rsidR="00123702">
        <w:br/>
      </w:r>
      <w:r w:rsidRPr="00244CB3">
        <w:t>Les langues régionales appartiennent au patrimoine de la France.</w:t>
      </w:r>
    </w:p>
    <w:p w14:paraId="23EA117E" w14:textId="4B9A0128" w:rsidR="00244CB3" w:rsidRDefault="00244CB3" w:rsidP="007B68FF">
      <w:pPr>
        <w:pStyle w:val="Encadrdocument"/>
        <w:numPr>
          <w:ilvl w:val="0"/>
          <w:numId w:val="5"/>
        </w:numPr>
      </w:pPr>
      <w:r w:rsidRPr="002C5741">
        <w:t>« </w:t>
      </w:r>
      <w:hyperlink r:id="rId30" w:history="1">
        <w:r w:rsidRPr="004A3081">
          <w:rPr>
            <w:rStyle w:val="Lienhypertexte"/>
          </w:rPr>
          <w:t>Que sont les principes républicains ? Une contribution du Conseil des sages de la laïcité </w:t>
        </w:r>
      </w:hyperlink>
      <w:r w:rsidRPr="002C5741">
        <w:t>» </w:t>
      </w:r>
      <w:r>
        <w:t xml:space="preserve"> </w:t>
      </w:r>
    </w:p>
    <w:p w14:paraId="4766D9CA" w14:textId="68A16C94" w:rsidR="00244CB3" w:rsidRDefault="00244CB3" w:rsidP="007B68FF">
      <w:pPr>
        <w:pStyle w:val="Encadrdocument"/>
        <w:numPr>
          <w:ilvl w:val="0"/>
          <w:numId w:val="5"/>
        </w:numPr>
      </w:pPr>
      <w:r w:rsidRPr="00244CB3">
        <w:t>Extraits de la DDHC de 1789 (articles</w:t>
      </w:r>
      <w:r w:rsidR="007B68FF">
        <w:t> </w:t>
      </w:r>
      <w:r w:rsidRPr="00244CB3">
        <w:t>1-3-6),</w:t>
      </w:r>
      <w:r w:rsidR="00123702">
        <w:br/>
      </w:r>
      <w:r>
        <w:t>Article 1</w:t>
      </w:r>
      <w:r w:rsidRPr="00123702">
        <w:rPr>
          <w:vertAlign w:val="superscript"/>
        </w:rPr>
        <w:t>er</w:t>
      </w:r>
      <w:r w:rsidR="00123702" w:rsidRPr="00123702">
        <w:rPr>
          <w:vertAlign w:val="superscript"/>
        </w:rPr>
        <w:br/>
      </w:r>
      <w:r w:rsidRPr="00244CB3">
        <w:t>Les hommes naissent et demeurent libres et égaux en droits. Les distinctions sociales ne peuvent être fondées que sur l</w:t>
      </w:r>
      <w:r w:rsidR="007B68FF">
        <w:t>’</w:t>
      </w:r>
      <w:r w:rsidRPr="00244CB3">
        <w:t>utilité commune.</w:t>
      </w:r>
      <w:r w:rsidR="00123702">
        <w:br/>
      </w:r>
      <w:r>
        <w:t>Article</w:t>
      </w:r>
      <w:r w:rsidR="007B68FF">
        <w:t> </w:t>
      </w:r>
      <w:r>
        <w:t>3</w:t>
      </w:r>
      <w:r w:rsidR="00123702">
        <w:br/>
      </w:r>
      <w:r w:rsidRPr="00244CB3">
        <w:t>Le principe de toute souveraineté réside essentiellement dans la nation. Nul corps, nul individu ne peut exercer d</w:t>
      </w:r>
      <w:r w:rsidR="007B68FF">
        <w:t>’</w:t>
      </w:r>
      <w:r w:rsidRPr="00244CB3">
        <w:t>autorité qui n</w:t>
      </w:r>
      <w:r w:rsidR="007B68FF">
        <w:t>’</w:t>
      </w:r>
      <w:r w:rsidRPr="00244CB3">
        <w:t>en émane expressément.</w:t>
      </w:r>
      <w:r w:rsidR="00123702">
        <w:br/>
      </w:r>
      <w:r>
        <w:t>Article</w:t>
      </w:r>
      <w:r w:rsidR="007B68FF">
        <w:t> </w:t>
      </w:r>
      <w:r>
        <w:t>6</w:t>
      </w:r>
      <w:r w:rsidR="00123702">
        <w:br/>
      </w:r>
      <w:r w:rsidRPr="00244CB3">
        <w:t>La loi est l</w:t>
      </w:r>
      <w:r w:rsidR="007B68FF">
        <w:t>’</w:t>
      </w:r>
      <w:r w:rsidRPr="00244CB3">
        <w:t>expression de la volonté générale. Tous les citoyens ont droit de concourir personnellement, ou par leurs représentants, à sa formation. Elle doit être la même pour tous, soit qu</w:t>
      </w:r>
      <w:r w:rsidR="007B68FF">
        <w:t>’</w:t>
      </w:r>
      <w:r w:rsidRPr="00244CB3">
        <w:t>elle protège, soit qu</w:t>
      </w:r>
      <w:r w:rsidR="007B68FF">
        <w:t>’</w:t>
      </w:r>
      <w:r w:rsidRPr="00244CB3">
        <w:t>elle punisse. Tous les citoyens étant égaux à ses yeux sont également admissibles à toutes dignités, places et emplois publics, selon leur capacité, et sans autre distinction que celle de leurs vertus et de leurs talents.</w:t>
      </w:r>
    </w:p>
    <w:p w14:paraId="02F43987" w14:textId="7ABD28A6" w:rsidR="00244CB3" w:rsidRPr="006C3E44" w:rsidRDefault="00244CB3" w:rsidP="007B68FF">
      <w:pPr>
        <w:pStyle w:val="Encadrdocument"/>
        <w:numPr>
          <w:ilvl w:val="0"/>
          <w:numId w:val="5"/>
        </w:numPr>
      </w:pPr>
      <w:r w:rsidRPr="006C3E44">
        <w:t xml:space="preserve">Extraits des </w:t>
      </w:r>
      <w:hyperlink r:id="rId31" w:history="1">
        <w:r w:rsidRPr="006C3E44">
          <w:rPr>
            <w:rStyle w:val="Lienhypertexte"/>
          </w:rPr>
          <w:t>lois de la décentralisation de 1982-1983</w:t>
        </w:r>
      </w:hyperlink>
      <w:r w:rsidR="006C3E44" w:rsidRPr="006C3E44">
        <w:t xml:space="preserve"> (en ligne sur Vie-publique.fr)</w:t>
      </w:r>
      <w:r w:rsidRPr="006C3E44">
        <w:t>,</w:t>
      </w:r>
    </w:p>
    <w:p w14:paraId="6BC21A5E" w14:textId="1FD98361" w:rsidR="00244CB3" w:rsidRDefault="00244CB3" w:rsidP="007B68FF">
      <w:pPr>
        <w:pStyle w:val="Encadrdocument"/>
        <w:numPr>
          <w:ilvl w:val="0"/>
          <w:numId w:val="5"/>
        </w:numPr>
      </w:pPr>
      <w:r w:rsidRPr="002C5741">
        <w:t xml:space="preserve">Extrait de </w:t>
      </w:r>
      <w:hyperlink r:id="rId32" w:history="1">
        <w:r w:rsidRPr="006C3E44">
          <w:rPr>
            <w:rStyle w:val="Lienhypertexte"/>
            <w:iCs/>
          </w:rPr>
          <w:t>la loi du 21 mai 2021</w:t>
        </w:r>
      </w:hyperlink>
      <w:r w:rsidRPr="002C5741">
        <w:t xml:space="preserve"> relative à la protection patrimoniale des langues régionales et à leur promotion (loi Molac) [</w:t>
      </w:r>
      <w:r w:rsidRPr="006C3E44">
        <w:t>en ligne sur Vie</w:t>
      </w:r>
      <w:r w:rsidR="006C3E44">
        <w:t>-</w:t>
      </w:r>
      <w:r w:rsidRPr="006C3E44">
        <w:t>publique</w:t>
      </w:r>
      <w:r w:rsidR="006C3E44">
        <w:t>.fr</w:t>
      </w:r>
      <w:r w:rsidRPr="002C5741">
        <w:t>]</w:t>
      </w:r>
      <w:r>
        <w:t>,</w:t>
      </w:r>
      <w:r w:rsidRPr="002C5741">
        <w:t xml:space="preserve"> </w:t>
      </w:r>
    </w:p>
    <w:p w14:paraId="2624B58A" w14:textId="19384BDD" w:rsidR="00621B05" w:rsidRPr="002C5741" w:rsidRDefault="00244CB3" w:rsidP="007B68FF">
      <w:pPr>
        <w:pStyle w:val="Encadrdocument"/>
        <w:numPr>
          <w:ilvl w:val="0"/>
          <w:numId w:val="5"/>
        </w:numPr>
      </w:pPr>
      <w:r w:rsidRPr="00621B05">
        <w:t>Décision du Conseil constitutionnel concernant la loi relative à la protection patrimoniale des langues régionales et à leur promotion - n°</w:t>
      </w:r>
      <w:r w:rsidR="007B68FF">
        <w:t xml:space="preserve"> </w:t>
      </w:r>
      <w:r w:rsidRPr="00621B05">
        <w:t>2021-818 DC</w:t>
      </w:r>
      <w:r w:rsidRPr="002C5741">
        <w:t xml:space="preserve"> [</w:t>
      </w:r>
      <w:hyperlink r:id="rId33" w:history="1">
        <w:r w:rsidRPr="00123702">
          <w:rPr>
            <w:rStyle w:val="Lienhypertexte"/>
            <w:iCs/>
          </w:rPr>
          <w:t>en ligne sur Légifrance</w:t>
        </w:r>
      </w:hyperlink>
      <w:r w:rsidRPr="002C5741">
        <w:t>]</w:t>
      </w:r>
      <w:r w:rsidR="00621B05">
        <w:t> notamment les points suivants</w:t>
      </w:r>
      <w:r w:rsidR="007B68FF">
        <w:t> </w:t>
      </w:r>
      <w:r w:rsidR="00621B05">
        <w:t>:</w:t>
      </w:r>
      <w:r w:rsidR="00123702">
        <w:br/>
      </w:r>
      <w:r w:rsidR="00621B05">
        <w:t>« </w:t>
      </w:r>
      <w:r w:rsidR="00621B05" w:rsidRPr="00621B05">
        <w:t>21. L</w:t>
      </w:r>
      <w:r w:rsidR="007B68FF">
        <w:t>’</w:t>
      </w:r>
      <w:r w:rsidR="00621B05" w:rsidRPr="00621B05">
        <w:t>article</w:t>
      </w:r>
      <w:r w:rsidR="007B68FF">
        <w:t> </w:t>
      </w:r>
      <w:r w:rsidR="00621B05" w:rsidRPr="00621B05">
        <w:t>9 prévoit que les signes diacritiques des langues régionales sont autorisés dans les actes de l</w:t>
      </w:r>
      <w:r w:rsidR="007B68FF">
        <w:t>’</w:t>
      </w:r>
      <w:r w:rsidR="00621B05" w:rsidRPr="00621B05">
        <w:t>état civil.</w:t>
      </w:r>
      <w:r w:rsidR="00123702">
        <w:br/>
      </w:r>
      <w:r w:rsidR="00621B05" w:rsidRPr="00621B05">
        <w:t>22. En prévoyant que des mentions des actes de l</w:t>
      </w:r>
      <w:r w:rsidR="007B68FF">
        <w:t>’</w:t>
      </w:r>
      <w:r w:rsidR="00621B05" w:rsidRPr="00621B05">
        <w:t>état civil peuvent être rédigées avec des signes diacritiques autres que ceux employés pour l</w:t>
      </w:r>
      <w:r w:rsidR="007B68FF">
        <w:t>’</w:t>
      </w:r>
      <w:r w:rsidR="00621B05" w:rsidRPr="00621B05">
        <w:t>écriture de la langue française, ces dispositions reconnaissent aux particuliers un droit à l</w:t>
      </w:r>
      <w:r w:rsidR="007B68FF">
        <w:t>’</w:t>
      </w:r>
      <w:r w:rsidR="00621B05" w:rsidRPr="00621B05">
        <w:t>usage d</w:t>
      </w:r>
      <w:r w:rsidR="007B68FF">
        <w:t>’</w:t>
      </w:r>
      <w:r w:rsidR="00621B05" w:rsidRPr="00621B05">
        <w:t>une langue autre que le français dans leurs relations avec les administrations et les services publics. Dès lors, elles méconnaissent les exigences précitées de l</w:t>
      </w:r>
      <w:r w:rsidR="007B68FF">
        <w:t>’</w:t>
      </w:r>
      <w:r w:rsidR="00621B05" w:rsidRPr="00621B05">
        <w:t>article</w:t>
      </w:r>
      <w:r w:rsidR="007B68FF">
        <w:t> </w:t>
      </w:r>
      <w:r w:rsidR="00621B05" w:rsidRPr="00621B05">
        <w:t>2 de la Constitution.</w:t>
      </w:r>
      <w:r w:rsidR="00123702">
        <w:br/>
      </w:r>
      <w:r w:rsidR="00621B05" w:rsidRPr="00621B05">
        <w:t>23. Par conséquent, l</w:t>
      </w:r>
      <w:r w:rsidR="007B68FF">
        <w:t>’</w:t>
      </w:r>
      <w:r w:rsidR="00621B05" w:rsidRPr="00621B05">
        <w:t>article</w:t>
      </w:r>
      <w:r w:rsidR="007B68FF">
        <w:t> </w:t>
      </w:r>
      <w:r w:rsidR="00621B05" w:rsidRPr="00621B05">
        <w:t>9 de la loi déférée est contraire à la Constitution.</w:t>
      </w:r>
      <w:r w:rsidR="00621B05">
        <w:t> »</w:t>
      </w:r>
    </w:p>
    <w:p w14:paraId="313C3BB8" w14:textId="3E743354" w:rsidR="008C1877" w:rsidRPr="008C1877" w:rsidRDefault="00244CB3" w:rsidP="007B68FF">
      <w:pPr>
        <w:pStyle w:val="Encadrdocument"/>
        <w:numPr>
          <w:ilvl w:val="0"/>
          <w:numId w:val="5"/>
        </w:numPr>
      </w:pPr>
      <w:r w:rsidRPr="00244CB3">
        <w:t xml:space="preserve">Préambule de la Charte européenne des langues régionales ou minoritaires entrée en vigueur en 1998 mais non ratifiée par la </w:t>
      </w:r>
      <w:r w:rsidR="00123702">
        <w:t>France</w:t>
      </w:r>
      <w:r w:rsidR="00123702">
        <w:br/>
      </w:r>
      <w:r w:rsidR="006C3E44" w:rsidRPr="006C3E44">
        <w:t xml:space="preserve">Les </w:t>
      </w:r>
      <w:r w:rsidR="007B68FF">
        <w:t>É</w:t>
      </w:r>
      <w:r w:rsidR="006C3E44" w:rsidRPr="006C3E44">
        <w:t>tats membres du Conseil de l</w:t>
      </w:r>
      <w:r w:rsidR="007B68FF">
        <w:t>’</w:t>
      </w:r>
      <w:r w:rsidR="006C3E44" w:rsidRPr="006C3E44">
        <w:t>Europe, signataires de la présente Charte,</w:t>
      </w:r>
      <w:r w:rsidR="00123702">
        <w:br/>
      </w:r>
      <w:r w:rsidR="006C3E44" w:rsidRPr="006C3E44">
        <w:t>Considérant que le but du Conseil de l</w:t>
      </w:r>
      <w:r w:rsidR="007B68FF">
        <w:t>’</w:t>
      </w:r>
      <w:r w:rsidR="006C3E44" w:rsidRPr="006C3E44">
        <w:t xml:space="preserve">Europe est de réaliser une union plus étroite entre ses membres, </w:t>
      </w:r>
      <w:r w:rsidR="006C3E44" w:rsidRPr="006C3E44">
        <w:lastRenderedPageBreak/>
        <w:t>notamment afin de sauvegarder et de promouvoir les idéaux et les principes qui sont leur patrimoine commun</w:t>
      </w:r>
      <w:r w:rsidR="007B68FF">
        <w:t> </w:t>
      </w:r>
      <w:r w:rsidR="006C3E44" w:rsidRPr="006C3E44">
        <w:t>;</w:t>
      </w:r>
      <w:r w:rsidR="00123702">
        <w:br/>
      </w:r>
      <w:r w:rsidR="006C3E44" w:rsidRPr="006C3E44">
        <w:t>Considérant que la protection des langues régionales ou minoritaires historiques de l</w:t>
      </w:r>
      <w:r w:rsidR="007B68FF">
        <w:t>’</w:t>
      </w:r>
      <w:r w:rsidR="006C3E44" w:rsidRPr="006C3E44">
        <w:t>Europe, dont certaines risquent, au fil du temps, de disparaître, contribue à maintenir et à développer les traditions et la richesse culturelles de l</w:t>
      </w:r>
      <w:r w:rsidR="007B68FF">
        <w:t>’</w:t>
      </w:r>
      <w:r w:rsidR="006C3E44" w:rsidRPr="006C3E44">
        <w:t>Europe</w:t>
      </w:r>
      <w:r w:rsidR="007B68FF">
        <w:t> </w:t>
      </w:r>
      <w:r w:rsidR="006C3E44" w:rsidRPr="006C3E44">
        <w:t>;</w:t>
      </w:r>
      <w:r w:rsidR="00123702">
        <w:br/>
      </w:r>
      <w:r w:rsidR="006C3E44" w:rsidRPr="006C3E44">
        <w:t>Considérant que le droit de pratiquer une langue régionale ou minoritaire dans la vie privée et publique constitue un droit imprescriptible, conformément aux principes contenus dans le Pacte international relatif aux droits civils et politiques des Nations Unies, et conformément à l</w:t>
      </w:r>
      <w:r w:rsidR="007B68FF">
        <w:t>’</w:t>
      </w:r>
      <w:r w:rsidR="006C3E44" w:rsidRPr="006C3E44">
        <w:t>esprit de la Convention de sauvegarde des Droits de l</w:t>
      </w:r>
      <w:r w:rsidR="007B68FF">
        <w:t>’</w:t>
      </w:r>
      <w:r w:rsidR="006C3E44" w:rsidRPr="006C3E44">
        <w:t>Homme et des Libertés fondamentales du Conseil de l</w:t>
      </w:r>
      <w:r w:rsidR="007B68FF">
        <w:t>’</w:t>
      </w:r>
      <w:r w:rsidR="006C3E44" w:rsidRPr="006C3E44">
        <w:t>Europe</w:t>
      </w:r>
      <w:r w:rsidR="007B68FF">
        <w:t> </w:t>
      </w:r>
      <w:r w:rsidR="006C3E44" w:rsidRPr="006C3E44">
        <w:t xml:space="preserve">; </w:t>
      </w:r>
      <w:r w:rsidR="00123702">
        <w:br/>
      </w:r>
      <w:r w:rsidR="006C3E44" w:rsidRPr="006C3E44">
        <w:t>Prenant en compte le travail réalisé dans le cadre de la CSCE, et en particulier l</w:t>
      </w:r>
      <w:r w:rsidR="007B68FF">
        <w:t>’</w:t>
      </w:r>
      <w:r w:rsidR="006C3E44" w:rsidRPr="006C3E44">
        <w:t>Acte final</w:t>
      </w:r>
      <w:r w:rsidR="006C3E44">
        <w:t xml:space="preserve"> </w:t>
      </w:r>
      <w:r w:rsidR="006C3E44" w:rsidRPr="006C3E44">
        <w:t>d</w:t>
      </w:r>
      <w:r w:rsidR="007B68FF">
        <w:t>’</w:t>
      </w:r>
      <w:r w:rsidR="006C3E44" w:rsidRPr="006C3E44">
        <w:t>Helsinki de 1975 et le document de la réunion de Copenhague de 1990</w:t>
      </w:r>
      <w:r w:rsidR="007B68FF">
        <w:t> </w:t>
      </w:r>
      <w:r w:rsidR="006C3E44" w:rsidRPr="006C3E44">
        <w:t>;</w:t>
      </w:r>
      <w:r w:rsidR="006C3E44">
        <w:t xml:space="preserve"> </w:t>
      </w:r>
      <w:r w:rsidR="00123702">
        <w:br/>
      </w:r>
      <w:r w:rsidR="006C3E44" w:rsidRPr="006C3E44">
        <w:t>Soulignant la valeur de l</w:t>
      </w:r>
      <w:r w:rsidR="007B68FF">
        <w:t>’</w:t>
      </w:r>
      <w:r w:rsidR="006C3E44" w:rsidRPr="006C3E44">
        <w:t>interculturel et du plurilinguisme, et considérant que la protection et</w:t>
      </w:r>
      <w:r w:rsidR="006C3E44">
        <w:t xml:space="preserve"> </w:t>
      </w:r>
      <w:r w:rsidR="006C3E44" w:rsidRPr="006C3E44">
        <w:t>l</w:t>
      </w:r>
      <w:r w:rsidR="007B68FF">
        <w:t>’</w:t>
      </w:r>
      <w:r w:rsidR="006C3E44" w:rsidRPr="006C3E44">
        <w:t>encouragement des langues régionales ou minoritaires ne devraient pas se faire au détriment des langues officielles et de la nécessité de les apprendre</w:t>
      </w:r>
      <w:r w:rsidR="007B68FF">
        <w:t> </w:t>
      </w:r>
      <w:r w:rsidR="006C3E44" w:rsidRPr="006C3E44">
        <w:t>;</w:t>
      </w:r>
      <w:r w:rsidR="00123702">
        <w:br/>
      </w:r>
      <w:r w:rsidR="006C3E44" w:rsidRPr="006C3E44">
        <w:t>Conscients du fait que la protection et la promotion des langues régionales ou minoritaires</w:t>
      </w:r>
      <w:r w:rsidR="006C3E44">
        <w:t xml:space="preserve"> </w:t>
      </w:r>
      <w:r w:rsidR="006C3E44" w:rsidRPr="006C3E44">
        <w:t>dans les différents pays et régions d</w:t>
      </w:r>
      <w:r w:rsidR="007B68FF">
        <w:t>’</w:t>
      </w:r>
      <w:r w:rsidR="006C3E44" w:rsidRPr="006C3E44">
        <w:t>Europe représentent une contribution importante à la</w:t>
      </w:r>
      <w:r w:rsidR="006C3E44">
        <w:t xml:space="preserve"> </w:t>
      </w:r>
      <w:r w:rsidR="006C3E44" w:rsidRPr="006C3E44">
        <w:t>construction d</w:t>
      </w:r>
      <w:r w:rsidR="007B68FF">
        <w:t>’</w:t>
      </w:r>
      <w:r w:rsidR="006C3E44" w:rsidRPr="006C3E44">
        <w:t>une Europe fondée sur les principes de la démocratie et de la diversité culturelle, dans le cadre de la souveraineté nationale et de l</w:t>
      </w:r>
      <w:r w:rsidR="007B68FF">
        <w:t>’</w:t>
      </w:r>
      <w:r w:rsidR="006C3E44" w:rsidRPr="006C3E44">
        <w:t>intégrité territoriale</w:t>
      </w:r>
      <w:r w:rsidR="007B68FF">
        <w:t> </w:t>
      </w:r>
      <w:r w:rsidR="006C3E44" w:rsidRPr="006C3E44">
        <w:t>;</w:t>
      </w:r>
      <w:r w:rsidR="00123702">
        <w:br/>
      </w:r>
      <w:r w:rsidR="006C3E44" w:rsidRPr="006C3E44">
        <w:t>Compte tenu des conditions spécifiques et des traditions historiques propres à chaque région des pays d</w:t>
      </w:r>
      <w:r w:rsidR="007B68FF">
        <w:t>’</w:t>
      </w:r>
      <w:r w:rsidR="006C3E44" w:rsidRPr="006C3E44">
        <w:t>Europe,</w:t>
      </w:r>
      <w:r w:rsidR="006C3E44">
        <w:t xml:space="preserve"> </w:t>
      </w:r>
      <w:r w:rsidR="008C1877">
        <w:t>[</w:t>
      </w:r>
      <w:r w:rsidR="006C3E44">
        <w:t>…</w:t>
      </w:r>
      <w:r w:rsidR="008C1877">
        <w:t>]</w:t>
      </w:r>
    </w:p>
    <w:p w14:paraId="48D6D7F1" w14:textId="77777777" w:rsidR="00C97B50" w:rsidRDefault="00C97B50"/>
    <w:sectPr w:rsidR="00C97B50" w:rsidSect="00891A98">
      <w:headerReference w:type="default" r:id="rId34"/>
      <w:pgSz w:w="11906" w:h="16838"/>
      <w:pgMar w:top="851" w:right="1134" w:bottom="99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11012" w14:textId="77777777" w:rsidR="00E12128" w:rsidRDefault="00E12128" w:rsidP="00343C0B">
      <w:pPr>
        <w:spacing w:after="0" w:line="240" w:lineRule="auto"/>
      </w:pPr>
      <w:r>
        <w:separator/>
      </w:r>
    </w:p>
  </w:endnote>
  <w:endnote w:type="continuationSeparator" w:id="0">
    <w:p w14:paraId="0BF37731" w14:textId="77777777" w:rsidR="00E12128" w:rsidRDefault="00E12128" w:rsidP="00343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anne">
    <w:panose1 w:val="02000000000000000000"/>
    <w:charset w:val="00"/>
    <w:family w:val="auto"/>
    <w:pitch w:val="variable"/>
    <w:sig w:usb0="0000000F"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Marianne Light">
    <w:altName w:val="Marianne Light"/>
    <w:panose1 w:val="02000000000000000000"/>
    <w:charset w:val="00"/>
    <w:family w:val="auto"/>
    <w:pitch w:val="variable"/>
    <w:sig w:usb0="0000000F"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arianne Medium">
    <w:panose1 w:val="02000000000000000000"/>
    <w:charset w:val="00"/>
    <w:family w:val="auto"/>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arianne ExtraBold">
    <w:panose1 w:val="02000000000000000000"/>
    <w:charset w:val="00"/>
    <w:family w:val="auto"/>
    <w:pitch w:val="variable"/>
    <w:sig w:usb0="0000000F"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DINPro-Bold">
    <w:altName w:val="Calibri"/>
    <w:panose1 w:val="00000000000000000000"/>
    <w:charset w:val="00"/>
    <w:family w:val="modern"/>
    <w:notTrueType/>
    <w:pitch w:val="variable"/>
    <w:sig w:usb0="800002AF" w:usb1="4000206A" w:usb2="00000000" w:usb3="00000000" w:csb0="0000009F" w:csb1="00000000"/>
  </w:font>
  <w:font w:name="VAG Rounded Bold">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B33E6" w14:textId="77777777" w:rsidR="00E12128" w:rsidRDefault="00E12128" w:rsidP="00343C0B">
      <w:pPr>
        <w:spacing w:after="0" w:line="240" w:lineRule="auto"/>
      </w:pPr>
      <w:r>
        <w:separator/>
      </w:r>
    </w:p>
  </w:footnote>
  <w:footnote w:type="continuationSeparator" w:id="0">
    <w:p w14:paraId="05EF03A5" w14:textId="77777777" w:rsidR="00E12128" w:rsidRDefault="00E12128" w:rsidP="00343C0B">
      <w:pPr>
        <w:spacing w:after="0" w:line="240" w:lineRule="auto"/>
      </w:pPr>
      <w:r>
        <w:continuationSeparator/>
      </w:r>
    </w:p>
  </w:footnote>
  <w:footnote w:id="1">
    <w:p w14:paraId="53AF5101" w14:textId="25BCC283" w:rsidR="000133F3" w:rsidRPr="0000554C" w:rsidRDefault="000133F3" w:rsidP="000133F3">
      <w:pPr>
        <w:rPr>
          <w:sz w:val="16"/>
          <w:szCs w:val="16"/>
        </w:rPr>
      </w:pPr>
      <w:r w:rsidRPr="0000554C">
        <w:rPr>
          <w:rStyle w:val="Appelnotedebasdep"/>
          <w:sz w:val="16"/>
          <w:szCs w:val="16"/>
        </w:rPr>
        <w:footnoteRef/>
      </w:r>
      <w:r w:rsidRPr="0000554C">
        <w:rPr>
          <w:sz w:val="16"/>
          <w:szCs w:val="16"/>
        </w:rPr>
        <w:t xml:space="preserve"> En complément de l’article</w:t>
      </w:r>
      <w:r w:rsidR="007B68FF">
        <w:rPr>
          <w:sz w:val="16"/>
          <w:szCs w:val="16"/>
        </w:rPr>
        <w:t> </w:t>
      </w:r>
      <w:r w:rsidRPr="0000554C">
        <w:rPr>
          <w:sz w:val="16"/>
          <w:szCs w:val="16"/>
        </w:rPr>
        <w:t xml:space="preserve">225-1 du </w:t>
      </w:r>
      <w:r w:rsidR="007B68FF">
        <w:rPr>
          <w:sz w:val="16"/>
          <w:szCs w:val="16"/>
        </w:rPr>
        <w:t>C</w:t>
      </w:r>
      <w:r w:rsidRPr="0000554C">
        <w:rPr>
          <w:sz w:val="16"/>
          <w:szCs w:val="16"/>
        </w:rPr>
        <w:t>ode pénal qui définit les comportements discriminatoires et de l’article</w:t>
      </w:r>
      <w:r w:rsidR="007B68FF">
        <w:rPr>
          <w:sz w:val="16"/>
          <w:szCs w:val="16"/>
        </w:rPr>
        <w:t> </w:t>
      </w:r>
      <w:r w:rsidRPr="0000554C">
        <w:rPr>
          <w:sz w:val="16"/>
          <w:szCs w:val="16"/>
        </w:rPr>
        <w:t xml:space="preserve">225-2 qui détaille leur pénalisation, on se réfèrera à </w:t>
      </w:r>
      <w:hyperlink r:id="rId1" w:history="1">
        <w:r w:rsidRPr="00C064A7">
          <w:rPr>
            <w:rStyle w:val="Lienhypertexte"/>
            <w:sz w:val="16"/>
            <w:szCs w:val="16"/>
          </w:rPr>
          <w:t>l’article</w:t>
        </w:r>
        <w:r w:rsidR="007B68FF">
          <w:rPr>
            <w:rStyle w:val="Lienhypertexte"/>
            <w:sz w:val="16"/>
            <w:szCs w:val="16"/>
          </w:rPr>
          <w:t> </w:t>
        </w:r>
        <w:r w:rsidRPr="00C064A7">
          <w:rPr>
            <w:rStyle w:val="Lienhypertexte"/>
            <w:sz w:val="16"/>
            <w:szCs w:val="16"/>
          </w:rPr>
          <w:t>225-3</w:t>
        </w:r>
      </w:hyperlink>
      <w:r w:rsidRPr="0000554C">
        <w:rPr>
          <w:sz w:val="16"/>
          <w:szCs w:val="16"/>
        </w:rPr>
        <w:t xml:space="preserve"> qui précise les situations faisant exception</w:t>
      </w:r>
      <w:r>
        <w:rPr>
          <w:sz w:val="16"/>
          <w:szCs w:val="16"/>
        </w:rPr>
        <w:t>.</w:t>
      </w:r>
      <w:r w:rsidRPr="0000554C">
        <w:rPr>
          <w:sz w:val="16"/>
          <w:szCs w:val="16"/>
        </w:rPr>
        <w:t xml:space="preserve">  </w:t>
      </w:r>
    </w:p>
  </w:footnote>
  <w:footnote w:id="2">
    <w:p w14:paraId="0F59E920" w14:textId="77777777" w:rsidR="007E0E8C" w:rsidRDefault="007E0E8C" w:rsidP="007E0E8C">
      <w:pPr>
        <w:pStyle w:val="Notedebasdepage"/>
      </w:pPr>
      <w:r>
        <w:rPr>
          <w:rStyle w:val="Appelnotedebasdep"/>
        </w:rPr>
        <w:footnoteRef/>
      </w:r>
      <w:r>
        <w:t xml:space="preserve"> </w:t>
      </w:r>
      <w:hyperlink r:id="rId2" w:history="1">
        <w:r w:rsidRPr="00237E19">
          <w:rPr>
            <w:rStyle w:val="Lienhypertexte"/>
          </w:rPr>
          <w:t>https://www.service-public.fr/particuliers/vosdroits/F35455</w:t>
        </w:r>
      </w:hyperlink>
      <w:r>
        <w:t xml:space="preserve"> </w:t>
      </w:r>
    </w:p>
  </w:footnote>
  <w:footnote w:id="3">
    <w:p w14:paraId="07512800" w14:textId="77777777" w:rsidR="007E0E8C" w:rsidRDefault="007E0E8C" w:rsidP="007E0E8C">
      <w:pPr>
        <w:pStyle w:val="Notedebasdepage"/>
      </w:pPr>
      <w:r>
        <w:rPr>
          <w:rStyle w:val="Appelnotedebasdep"/>
        </w:rPr>
        <w:footnoteRef/>
      </w:r>
      <w:r>
        <w:t xml:space="preserve"> </w:t>
      </w:r>
      <w:hyperlink r:id="rId3" w:history="1">
        <w:r w:rsidRPr="00682B9E">
          <w:rPr>
            <w:rStyle w:val="Lienhypertexte"/>
          </w:rPr>
          <w:t>https://www.justice.gouv.fr/documentation/etudes-et-statistiques/infractions-caractere-raciste-predominance-linjure-publique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7923E" w14:textId="7DA52107" w:rsidR="00AC71F6" w:rsidRPr="002655CF" w:rsidRDefault="002655CF" w:rsidP="00465A37">
    <w:pPr>
      <w:pBdr>
        <w:top w:val="single" w:sz="36" w:space="1" w:color="E0DDEE"/>
        <w:left w:val="single" w:sz="36" w:space="4" w:color="E0DDEE"/>
        <w:bottom w:val="single" w:sz="36" w:space="1" w:color="E0DDEE"/>
        <w:right w:val="single" w:sz="36" w:space="4" w:color="E0DDEE"/>
      </w:pBdr>
      <w:shd w:val="clear" w:color="auto" w:fill="E0DDEE"/>
      <w:ind w:right="-1276"/>
      <w:rPr>
        <w:b/>
        <w:color w:val="000000" w:themeColor="text1"/>
      </w:rPr>
    </w:pPr>
    <w:r w:rsidRPr="00891A98">
      <w:rPr>
        <w:noProof/>
        <w:color w:val="FF732C"/>
        <w:sz w:val="72"/>
        <w:szCs w:val="72"/>
        <w:lang w:eastAsia="fr-FR"/>
      </w:rPr>
      <mc:AlternateContent>
        <mc:Choice Requires="wps">
          <w:drawing>
            <wp:anchor distT="0" distB="0" distL="114300" distR="114300" simplePos="0" relativeHeight="251663360" behindDoc="0" locked="0" layoutInCell="1" allowOverlap="1" wp14:anchorId="42F116EF" wp14:editId="6516D0D9">
              <wp:simplePos x="0" y="0"/>
              <wp:positionH relativeFrom="column">
                <wp:posOffset>4917440</wp:posOffset>
              </wp:positionH>
              <wp:positionV relativeFrom="paragraph">
                <wp:posOffset>19256</wp:posOffset>
              </wp:positionV>
              <wp:extent cx="343560" cy="153281"/>
              <wp:effectExtent l="0" t="0" r="18415" b="18415"/>
              <wp:wrapNone/>
              <wp:docPr id="4" name="Rectangle 4"/>
              <wp:cNvGraphicFramePr/>
              <a:graphic xmlns:a="http://schemas.openxmlformats.org/drawingml/2006/main">
                <a:graphicData uri="http://schemas.microsoft.com/office/word/2010/wordprocessingShape">
                  <wps:wsp>
                    <wps:cNvSpPr/>
                    <wps:spPr>
                      <a:xfrm>
                        <a:off x="0" y="0"/>
                        <a:ext cx="343560" cy="153281"/>
                      </a:xfrm>
                      <a:prstGeom prst="rect">
                        <a:avLst/>
                      </a:prstGeom>
                      <a:solidFill>
                        <a:srgbClr val="FF732C"/>
                      </a:solidFill>
                      <a:ln>
                        <a:solidFill>
                          <a:srgbClr val="FF732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3CE7BB" id="Rectangle 4" o:spid="_x0000_s1026" style="position:absolute;margin-left:387.2pt;margin-top:1.5pt;width:27.05pt;height:12.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" fillcolor="#ff732c" strokecolor="#ff732c" strokeweight="1pt"/>
          </w:pict>
        </mc:Fallback>
      </mc:AlternateContent>
    </w:r>
    <w:r>
      <w:rPr>
        <w:noProof/>
        <w:color w:val="000000" w:themeColor="text1"/>
        <w:sz w:val="72"/>
        <w:szCs w:val="72"/>
        <w:lang w:eastAsia="fr-FR"/>
      </w:rPr>
      <mc:AlternateContent>
        <mc:Choice Requires="wps">
          <w:drawing>
            <wp:anchor distT="0" distB="0" distL="114300" distR="114300" simplePos="0" relativeHeight="251661312" behindDoc="0" locked="0" layoutInCell="1" allowOverlap="1" wp14:anchorId="1C45262D" wp14:editId="7ABAD52F">
              <wp:simplePos x="0" y="0"/>
              <wp:positionH relativeFrom="column">
                <wp:posOffset>4575215</wp:posOffset>
              </wp:positionH>
              <wp:positionV relativeFrom="paragraph">
                <wp:posOffset>20488</wp:posOffset>
              </wp:positionV>
              <wp:extent cx="343560" cy="153281"/>
              <wp:effectExtent l="0" t="0" r="18415" b="18415"/>
              <wp:wrapNone/>
              <wp:docPr id="3" name="Rectangle 3"/>
              <wp:cNvGraphicFramePr/>
              <a:graphic xmlns:a="http://schemas.openxmlformats.org/drawingml/2006/main">
                <a:graphicData uri="http://schemas.microsoft.com/office/word/2010/wordprocessingShape">
                  <wps:wsp>
                    <wps:cNvSpPr/>
                    <wps:spPr>
                      <a:xfrm>
                        <a:off x="0" y="0"/>
                        <a:ext cx="343560" cy="153281"/>
                      </a:xfrm>
                      <a:prstGeom prst="rect">
                        <a:avLst/>
                      </a:prstGeom>
                      <a:solidFill>
                        <a:srgbClr val="7AB1E8"/>
                      </a:solidFill>
                      <a:ln>
                        <a:solidFill>
                          <a:srgbClr val="7AB1E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F3CF91" id="Rectangle 3" o:spid="_x0000_s1026" style="position:absolute;margin-left:360.25pt;margin-top:1.6pt;width:27.05pt;height:12.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" fillcolor="#7ab1e8" strokecolor="#7ab1e8" strokeweight="1pt"/>
          </w:pict>
        </mc:Fallback>
      </mc:AlternateContent>
    </w:r>
    <w:r w:rsidR="00465A37" w:rsidRPr="002655CF">
      <w:rPr>
        <w:noProof/>
        <w:color w:val="000000" w:themeColor="text1"/>
        <w:sz w:val="72"/>
        <w:szCs w:val="72"/>
        <w:lang w:eastAsia="fr-FR"/>
      </w:rPr>
      <mc:AlternateContent>
        <mc:Choice Requires="wps">
          <w:drawing>
            <wp:anchor distT="0" distB="0" distL="114300" distR="114300" simplePos="0" relativeHeight="251660288" behindDoc="0" locked="0" layoutInCell="1" allowOverlap="1" wp14:anchorId="13AEAFCB" wp14:editId="174D7D45">
              <wp:simplePos x="0" y="0"/>
              <wp:positionH relativeFrom="column">
                <wp:posOffset>5807075</wp:posOffset>
              </wp:positionH>
              <wp:positionV relativeFrom="paragraph">
                <wp:posOffset>35354</wp:posOffset>
              </wp:positionV>
              <wp:extent cx="576125" cy="237850"/>
              <wp:effectExtent l="0" t="0" r="14605" b="10160"/>
              <wp:wrapNone/>
              <wp:docPr id="1" name="Zone de texte 1"/>
              <wp:cNvGraphicFramePr/>
              <a:graphic xmlns:a="http://schemas.openxmlformats.org/drawingml/2006/main">
                <a:graphicData uri="http://schemas.microsoft.com/office/word/2010/wordprocessingShape">
                  <wps:wsp>
                    <wps:cNvSpPr txBox="1"/>
                    <wps:spPr>
                      <a:xfrm>
                        <a:off x="0" y="0"/>
                        <a:ext cx="576125" cy="237850"/>
                      </a:xfrm>
                      <a:prstGeom prst="rect">
                        <a:avLst/>
                      </a:prstGeom>
                      <a:solidFill>
                        <a:schemeClr val="tx1"/>
                      </a:solidFill>
                      <a:ln w="6350">
                        <a:solidFill>
                          <a:prstClr val="black"/>
                        </a:solidFill>
                      </a:ln>
                    </wps:spPr>
                    <wps:txbx>
                      <w:txbxContent>
                        <w:p w14:paraId="05181EBD" w14:textId="77777777" w:rsidR="00465A37" w:rsidRPr="002655CF" w:rsidRDefault="00465A37" w:rsidP="00465A37">
                          <w:pPr>
                            <w:shd w:val="clear" w:color="auto" w:fill="000000" w:themeFill="text1"/>
                            <w:jc w:val="center"/>
                            <w:rPr>
                              <w:b/>
                              <w:bCs/>
                              <w:color w:val="FFFFFF" w:themeColor="background1"/>
                            </w:rPr>
                          </w:pPr>
                          <w:r w:rsidRPr="002655CF">
                            <w:rPr>
                              <w:b/>
                              <w:bCs/>
                              <w:color w:val="FFFFFF" w:themeColor="background1"/>
                            </w:rPr>
                            <w:t>1</w:t>
                          </w:r>
                          <w:r w:rsidRPr="002655CF">
                            <w:rPr>
                              <w:b/>
                              <w:bCs/>
                              <w:color w:val="FFFFFF" w:themeColor="background1"/>
                              <w:vertAlign w:val="superscript"/>
                            </w:rPr>
                            <w:t>re</w:t>
                          </w:r>
                        </w:p>
                        <w:p w14:paraId="24B99FBE" w14:textId="77777777" w:rsidR="00465A37" w:rsidRDefault="00465A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AEAFCB" id="_x0000_t202" coordsize="21600,21600" o:spt="202" path="m,l,21600r21600,l21600,xe">
              <v:stroke joinstyle="miter"/>
              <v:path gradientshapeok="t" o:connecttype="rect"/>
            </v:shapetype>
            <v:shape id="Zone de texte 1" o:spid="_x0000_s1026" type="#_x0000_t202" style="position:absolute;margin-left:457.25pt;margin-top:2.8pt;width:45.3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" fillcolor="black [3213]" strokeweight=".5pt">
              <v:textbox>
                <w:txbxContent>
                  <w:p w14:paraId="05181EBD" w14:textId="77777777" w:rsidR="00465A37" w:rsidRPr="002655CF" w:rsidRDefault="00465A37" w:rsidP="00465A37">
                    <w:pPr>
                      <w:shd w:val="clear" w:color="auto" w:fill="000000" w:themeFill="text1"/>
                      <w:jc w:val="center"/>
                      <w:rPr>
                        <w:b/>
                        <w:bCs/>
                        <w:color w:val="FFFFFF" w:themeColor="background1"/>
                      </w:rPr>
                    </w:pPr>
                    <w:r w:rsidRPr="002655CF">
                      <w:rPr>
                        <w:b/>
                        <w:bCs/>
                        <w:color w:val="FFFFFF" w:themeColor="background1"/>
                      </w:rPr>
                      <w:t>1</w:t>
                    </w:r>
                    <w:r w:rsidRPr="002655CF">
                      <w:rPr>
                        <w:b/>
                        <w:bCs/>
                        <w:color w:val="FFFFFF" w:themeColor="background1"/>
                        <w:vertAlign w:val="superscript"/>
                      </w:rPr>
                      <w:t>re</w:t>
                    </w:r>
                  </w:p>
                  <w:p w14:paraId="24B99FBE" w14:textId="77777777" w:rsidR="00465A37" w:rsidRDefault="00465A37"/>
                </w:txbxContent>
              </v:textbox>
            </v:shape>
          </w:pict>
        </mc:Fallback>
      </mc:AlternateContent>
    </w:r>
    <w:r w:rsidR="00AC71F6" w:rsidRPr="002655CF">
      <w:rPr>
        <w:b/>
        <w:color w:val="000000" w:themeColor="text1"/>
      </w:rPr>
      <w:t xml:space="preserve">ENSEIGNEMENT MORAL ET CIVIQUE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E3524"/>
    <w:multiLevelType w:val="hybridMultilevel"/>
    <w:tmpl w:val="7478BEF2"/>
    <w:lvl w:ilvl="0" w:tplc="D300511A">
      <w:start w:val="1"/>
      <w:numFmt w:val="bullet"/>
      <w:pStyle w:val="Paragraphedeliste"/>
      <w:lvlText w:val=""/>
      <w:lvlJc w:val="left"/>
      <w:pPr>
        <w:ind w:left="1440" w:hanging="360"/>
      </w:pPr>
      <w:rPr>
        <w:rFonts w:ascii="Symbol" w:hAnsi="Symbol" w:hint="default"/>
        <w:lang w:val="fr-FR" w:eastAsia="en-US" w:bidi="ar-SA"/>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22EB52A8"/>
    <w:multiLevelType w:val="hybridMultilevel"/>
    <w:tmpl w:val="5FEC5E7A"/>
    <w:lvl w:ilvl="0" w:tplc="E0F80CD0">
      <w:numFmt w:val="bullet"/>
      <w:pStyle w:val="Listetableau"/>
      <w:lvlText w:val="•"/>
      <w:lvlJc w:val="left"/>
      <w:pPr>
        <w:ind w:left="415" w:hanging="137"/>
      </w:pPr>
      <w:rPr>
        <w:rFonts w:ascii="Marianne" w:eastAsia="Marianne" w:hAnsi="Marianne" w:cs="Marianne" w:hint="default"/>
        <w:b w:val="0"/>
        <w:bCs w:val="0"/>
        <w:i w:val="0"/>
        <w:iCs w:val="0"/>
        <w:color w:val="F29C52"/>
        <w:w w:val="100"/>
        <w:sz w:val="22"/>
        <w:szCs w:val="22"/>
        <w:lang w:val="fr-FR" w:eastAsia="en-US" w:bidi="ar-SA"/>
      </w:rPr>
    </w:lvl>
    <w:lvl w:ilvl="1" w:tplc="FE549060">
      <w:numFmt w:val="bullet"/>
      <w:lvlText w:val="•"/>
      <w:lvlJc w:val="left"/>
      <w:pPr>
        <w:ind w:left="1060" w:hanging="137"/>
      </w:pPr>
      <w:rPr>
        <w:rFonts w:hint="default"/>
        <w:lang w:val="fr-FR" w:eastAsia="en-US" w:bidi="ar-SA"/>
      </w:rPr>
    </w:lvl>
    <w:lvl w:ilvl="2" w:tplc="2954FA0A">
      <w:numFmt w:val="bullet"/>
      <w:lvlText w:val="•"/>
      <w:lvlJc w:val="left"/>
      <w:pPr>
        <w:ind w:left="1700" w:hanging="137"/>
      </w:pPr>
      <w:rPr>
        <w:rFonts w:hint="default"/>
        <w:lang w:val="fr-FR" w:eastAsia="en-US" w:bidi="ar-SA"/>
      </w:rPr>
    </w:lvl>
    <w:lvl w:ilvl="3" w:tplc="1E1C91AA">
      <w:numFmt w:val="bullet"/>
      <w:lvlText w:val="•"/>
      <w:lvlJc w:val="left"/>
      <w:pPr>
        <w:ind w:left="2340" w:hanging="137"/>
      </w:pPr>
      <w:rPr>
        <w:rFonts w:hint="default"/>
        <w:lang w:val="fr-FR" w:eastAsia="en-US" w:bidi="ar-SA"/>
      </w:rPr>
    </w:lvl>
    <w:lvl w:ilvl="4" w:tplc="A114F6D6">
      <w:numFmt w:val="bullet"/>
      <w:lvlText w:val="•"/>
      <w:lvlJc w:val="left"/>
      <w:pPr>
        <w:ind w:left="2980" w:hanging="137"/>
      </w:pPr>
      <w:rPr>
        <w:rFonts w:hint="default"/>
        <w:lang w:val="fr-FR" w:eastAsia="en-US" w:bidi="ar-SA"/>
      </w:rPr>
    </w:lvl>
    <w:lvl w:ilvl="5" w:tplc="1D406DA8">
      <w:numFmt w:val="bullet"/>
      <w:lvlText w:val="•"/>
      <w:lvlJc w:val="left"/>
      <w:pPr>
        <w:ind w:left="3620" w:hanging="137"/>
      </w:pPr>
      <w:rPr>
        <w:rFonts w:hint="default"/>
        <w:lang w:val="fr-FR" w:eastAsia="en-US" w:bidi="ar-SA"/>
      </w:rPr>
    </w:lvl>
    <w:lvl w:ilvl="6" w:tplc="2A4CFCB8">
      <w:numFmt w:val="bullet"/>
      <w:lvlText w:val="•"/>
      <w:lvlJc w:val="left"/>
      <w:pPr>
        <w:ind w:left="4260" w:hanging="137"/>
      </w:pPr>
      <w:rPr>
        <w:rFonts w:hint="default"/>
        <w:lang w:val="fr-FR" w:eastAsia="en-US" w:bidi="ar-SA"/>
      </w:rPr>
    </w:lvl>
    <w:lvl w:ilvl="7" w:tplc="A87A0546">
      <w:numFmt w:val="bullet"/>
      <w:lvlText w:val="•"/>
      <w:lvlJc w:val="left"/>
      <w:pPr>
        <w:ind w:left="4900" w:hanging="137"/>
      </w:pPr>
      <w:rPr>
        <w:rFonts w:hint="default"/>
        <w:lang w:val="fr-FR" w:eastAsia="en-US" w:bidi="ar-SA"/>
      </w:rPr>
    </w:lvl>
    <w:lvl w:ilvl="8" w:tplc="9AF40EDA">
      <w:numFmt w:val="bullet"/>
      <w:lvlText w:val="•"/>
      <w:lvlJc w:val="left"/>
      <w:pPr>
        <w:ind w:left="5540" w:hanging="137"/>
      </w:pPr>
      <w:rPr>
        <w:rFonts w:hint="default"/>
        <w:lang w:val="fr-FR" w:eastAsia="en-US" w:bidi="ar-SA"/>
      </w:rPr>
    </w:lvl>
  </w:abstractNum>
  <w:abstractNum w:abstractNumId="2" w15:restartNumberingAfterBreak="0">
    <w:nsid w:val="25154C5A"/>
    <w:multiLevelType w:val="hybridMultilevel"/>
    <w:tmpl w:val="AE707B6E"/>
    <w:lvl w:ilvl="0" w:tplc="941EBC9C">
      <w:start w:val="1"/>
      <w:numFmt w:val="bullet"/>
      <w:lvlText w:val=""/>
      <w:lvlJc w:val="left"/>
      <w:pPr>
        <w:ind w:left="530" w:hanging="360"/>
      </w:pPr>
      <w:rPr>
        <w:rFonts w:ascii="Symbol" w:hAnsi="Symbol" w:hint="default"/>
      </w:rPr>
    </w:lvl>
    <w:lvl w:ilvl="1" w:tplc="040C0003" w:tentative="1">
      <w:start w:val="1"/>
      <w:numFmt w:val="bullet"/>
      <w:lvlText w:val="o"/>
      <w:lvlJc w:val="left"/>
      <w:pPr>
        <w:ind w:left="1250" w:hanging="360"/>
      </w:pPr>
      <w:rPr>
        <w:rFonts w:ascii="Courier New" w:hAnsi="Courier New" w:cs="Courier New" w:hint="default"/>
      </w:rPr>
    </w:lvl>
    <w:lvl w:ilvl="2" w:tplc="040C0005" w:tentative="1">
      <w:start w:val="1"/>
      <w:numFmt w:val="bullet"/>
      <w:lvlText w:val=""/>
      <w:lvlJc w:val="left"/>
      <w:pPr>
        <w:ind w:left="1970" w:hanging="360"/>
      </w:pPr>
      <w:rPr>
        <w:rFonts w:ascii="Wingdings" w:hAnsi="Wingdings" w:hint="default"/>
      </w:rPr>
    </w:lvl>
    <w:lvl w:ilvl="3" w:tplc="040C0001" w:tentative="1">
      <w:start w:val="1"/>
      <w:numFmt w:val="bullet"/>
      <w:lvlText w:val=""/>
      <w:lvlJc w:val="left"/>
      <w:pPr>
        <w:ind w:left="2690" w:hanging="360"/>
      </w:pPr>
      <w:rPr>
        <w:rFonts w:ascii="Symbol" w:hAnsi="Symbol" w:hint="default"/>
      </w:rPr>
    </w:lvl>
    <w:lvl w:ilvl="4" w:tplc="040C0003" w:tentative="1">
      <w:start w:val="1"/>
      <w:numFmt w:val="bullet"/>
      <w:lvlText w:val="o"/>
      <w:lvlJc w:val="left"/>
      <w:pPr>
        <w:ind w:left="3410" w:hanging="360"/>
      </w:pPr>
      <w:rPr>
        <w:rFonts w:ascii="Courier New" w:hAnsi="Courier New" w:cs="Courier New" w:hint="default"/>
      </w:rPr>
    </w:lvl>
    <w:lvl w:ilvl="5" w:tplc="040C0005" w:tentative="1">
      <w:start w:val="1"/>
      <w:numFmt w:val="bullet"/>
      <w:lvlText w:val=""/>
      <w:lvlJc w:val="left"/>
      <w:pPr>
        <w:ind w:left="4130" w:hanging="360"/>
      </w:pPr>
      <w:rPr>
        <w:rFonts w:ascii="Wingdings" w:hAnsi="Wingdings" w:hint="default"/>
      </w:rPr>
    </w:lvl>
    <w:lvl w:ilvl="6" w:tplc="040C0001" w:tentative="1">
      <w:start w:val="1"/>
      <w:numFmt w:val="bullet"/>
      <w:lvlText w:val=""/>
      <w:lvlJc w:val="left"/>
      <w:pPr>
        <w:ind w:left="4850" w:hanging="360"/>
      </w:pPr>
      <w:rPr>
        <w:rFonts w:ascii="Symbol" w:hAnsi="Symbol" w:hint="default"/>
      </w:rPr>
    </w:lvl>
    <w:lvl w:ilvl="7" w:tplc="040C0003" w:tentative="1">
      <w:start w:val="1"/>
      <w:numFmt w:val="bullet"/>
      <w:lvlText w:val="o"/>
      <w:lvlJc w:val="left"/>
      <w:pPr>
        <w:ind w:left="5570" w:hanging="360"/>
      </w:pPr>
      <w:rPr>
        <w:rFonts w:ascii="Courier New" w:hAnsi="Courier New" w:cs="Courier New" w:hint="default"/>
      </w:rPr>
    </w:lvl>
    <w:lvl w:ilvl="8" w:tplc="040C0005" w:tentative="1">
      <w:start w:val="1"/>
      <w:numFmt w:val="bullet"/>
      <w:lvlText w:val=""/>
      <w:lvlJc w:val="left"/>
      <w:pPr>
        <w:ind w:left="6290" w:hanging="360"/>
      </w:pPr>
      <w:rPr>
        <w:rFonts w:ascii="Wingdings" w:hAnsi="Wingdings" w:hint="default"/>
      </w:rPr>
    </w:lvl>
  </w:abstractNum>
  <w:abstractNum w:abstractNumId="3" w15:restartNumberingAfterBreak="0">
    <w:nsid w:val="4A876C8D"/>
    <w:multiLevelType w:val="hybridMultilevel"/>
    <w:tmpl w:val="2E4A57D0"/>
    <w:lvl w:ilvl="0" w:tplc="29F0247E">
      <w:start w:val="1"/>
      <w:numFmt w:val="bullet"/>
      <w:pStyle w:val="Tiretstableau"/>
      <w:lvlText w:val="-"/>
      <w:lvlJc w:val="left"/>
      <w:pPr>
        <w:ind w:left="5464" w:hanging="360"/>
      </w:pPr>
      <w:rPr>
        <w:rFonts w:ascii="Marianne" w:hAnsi="Marianne" w:cs="Arial Black" w:hint="default"/>
        <w:bCs/>
        <w:iCs w:val="0"/>
        <w:color w:val="000091"/>
        <w:w w:val="2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05F6826"/>
    <w:multiLevelType w:val="hybridMultilevel"/>
    <w:tmpl w:val="620028A2"/>
    <w:lvl w:ilvl="0" w:tplc="5A7A5D4C">
      <w:numFmt w:val="bullet"/>
      <w:pStyle w:val="TM2"/>
      <w:lvlText w:val="•"/>
      <w:lvlJc w:val="left"/>
      <w:pPr>
        <w:ind w:left="644" w:hanging="360"/>
      </w:pPr>
      <w:rPr>
        <w:rFonts w:ascii="Marianne" w:eastAsia="Marianne" w:hAnsi="Marianne" w:cs="Marianne" w:hint="default"/>
        <w:b w:val="0"/>
        <w:bCs w:val="0"/>
        <w:i w:val="0"/>
        <w:iCs w:val="0"/>
        <w:color w:val="F29C52"/>
        <w:w w:val="100"/>
        <w:sz w:val="22"/>
        <w:szCs w:val="22"/>
        <w:lang w:val="fr-FR" w:eastAsia="en-US" w:bidi="ar-SA"/>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74EC4FF4"/>
    <w:multiLevelType w:val="hybridMultilevel"/>
    <w:tmpl w:val="4F12C1DA"/>
    <w:lvl w:ilvl="0" w:tplc="5E7C1246">
      <w:start w:val="13"/>
      <w:numFmt w:val="bullet"/>
      <w:lvlText w:val="-"/>
      <w:lvlJc w:val="left"/>
      <w:pPr>
        <w:ind w:left="530" w:hanging="360"/>
      </w:pPr>
      <w:rPr>
        <w:rFonts w:ascii="Marianne Light" w:eastAsiaTheme="minorHAnsi" w:hAnsi="Marianne Light" w:cstheme="minorBidi" w:hint="default"/>
        <w:b/>
      </w:rPr>
    </w:lvl>
    <w:lvl w:ilvl="1" w:tplc="040C0003" w:tentative="1">
      <w:start w:val="1"/>
      <w:numFmt w:val="bullet"/>
      <w:lvlText w:val="o"/>
      <w:lvlJc w:val="left"/>
      <w:pPr>
        <w:ind w:left="1250" w:hanging="360"/>
      </w:pPr>
      <w:rPr>
        <w:rFonts w:ascii="Courier New" w:hAnsi="Courier New" w:cs="Courier New" w:hint="default"/>
      </w:rPr>
    </w:lvl>
    <w:lvl w:ilvl="2" w:tplc="040C0005" w:tentative="1">
      <w:start w:val="1"/>
      <w:numFmt w:val="bullet"/>
      <w:lvlText w:val=""/>
      <w:lvlJc w:val="left"/>
      <w:pPr>
        <w:ind w:left="1970" w:hanging="360"/>
      </w:pPr>
      <w:rPr>
        <w:rFonts w:ascii="Wingdings" w:hAnsi="Wingdings" w:hint="default"/>
      </w:rPr>
    </w:lvl>
    <w:lvl w:ilvl="3" w:tplc="040C0001" w:tentative="1">
      <w:start w:val="1"/>
      <w:numFmt w:val="bullet"/>
      <w:lvlText w:val=""/>
      <w:lvlJc w:val="left"/>
      <w:pPr>
        <w:ind w:left="2690" w:hanging="360"/>
      </w:pPr>
      <w:rPr>
        <w:rFonts w:ascii="Symbol" w:hAnsi="Symbol" w:hint="default"/>
      </w:rPr>
    </w:lvl>
    <w:lvl w:ilvl="4" w:tplc="040C0003" w:tentative="1">
      <w:start w:val="1"/>
      <w:numFmt w:val="bullet"/>
      <w:lvlText w:val="o"/>
      <w:lvlJc w:val="left"/>
      <w:pPr>
        <w:ind w:left="3410" w:hanging="360"/>
      </w:pPr>
      <w:rPr>
        <w:rFonts w:ascii="Courier New" w:hAnsi="Courier New" w:cs="Courier New" w:hint="default"/>
      </w:rPr>
    </w:lvl>
    <w:lvl w:ilvl="5" w:tplc="040C0005" w:tentative="1">
      <w:start w:val="1"/>
      <w:numFmt w:val="bullet"/>
      <w:lvlText w:val=""/>
      <w:lvlJc w:val="left"/>
      <w:pPr>
        <w:ind w:left="4130" w:hanging="360"/>
      </w:pPr>
      <w:rPr>
        <w:rFonts w:ascii="Wingdings" w:hAnsi="Wingdings" w:hint="default"/>
      </w:rPr>
    </w:lvl>
    <w:lvl w:ilvl="6" w:tplc="040C0001" w:tentative="1">
      <w:start w:val="1"/>
      <w:numFmt w:val="bullet"/>
      <w:lvlText w:val=""/>
      <w:lvlJc w:val="left"/>
      <w:pPr>
        <w:ind w:left="4850" w:hanging="360"/>
      </w:pPr>
      <w:rPr>
        <w:rFonts w:ascii="Symbol" w:hAnsi="Symbol" w:hint="default"/>
      </w:rPr>
    </w:lvl>
    <w:lvl w:ilvl="7" w:tplc="040C0003" w:tentative="1">
      <w:start w:val="1"/>
      <w:numFmt w:val="bullet"/>
      <w:lvlText w:val="o"/>
      <w:lvlJc w:val="left"/>
      <w:pPr>
        <w:ind w:left="5570" w:hanging="360"/>
      </w:pPr>
      <w:rPr>
        <w:rFonts w:ascii="Courier New" w:hAnsi="Courier New" w:cs="Courier New" w:hint="default"/>
      </w:rPr>
    </w:lvl>
    <w:lvl w:ilvl="8" w:tplc="040C0005" w:tentative="1">
      <w:start w:val="1"/>
      <w:numFmt w:val="bullet"/>
      <w:lvlText w:val=""/>
      <w:lvlJc w:val="left"/>
      <w:pPr>
        <w:ind w:left="6290" w:hanging="360"/>
      </w:pPr>
      <w:rPr>
        <w:rFonts w:ascii="Wingdings" w:hAnsi="Wingdings" w:hint="default"/>
      </w:rPr>
    </w:lvl>
  </w:abstractNum>
  <w:abstractNum w:abstractNumId="6" w15:restartNumberingAfterBreak="0">
    <w:nsid w:val="77665C3C"/>
    <w:multiLevelType w:val="hybridMultilevel"/>
    <w:tmpl w:val="4E76890C"/>
    <w:lvl w:ilvl="0" w:tplc="07968452">
      <w:start w:val="1"/>
      <w:numFmt w:val="bullet"/>
      <w:pStyle w:val="Pucestableau"/>
      <w:lvlText w:val=""/>
      <w:lvlJc w:val="left"/>
      <w:pPr>
        <w:ind w:left="360" w:hanging="360"/>
      </w:pPr>
      <w:rPr>
        <w:rFonts w:ascii="Symbol" w:hAnsi="Symbol" w:hint="default"/>
        <w:strike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94276988">
    <w:abstractNumId w:val="1"/>
  </w:num>
  <w:num w:numId="2" w16cid:durableId="1313295260">
    <w:abstractNumId w:val="0"/>
  </w:num>
  <w:num w:numId="3" w16cid:durableId="2130932551">
    <w:abstractNumId w:val="4"/>
  </w:num>
  <w:num w:numId="4" w16cid:durableId="410544117">
    <w:abstractNumId w:val="6"/>
  </w:num>
  <w:num w:numId="5" w16cid:durableId="1872449791">
    <w:abstractNumId w:val="2"/>
  </w:num>
  <w:num w:numId="6" w16cid:durableId="1171942968">
    <w:abstractNumId w:val="5"/>
  </w:num>
  <w:num w:numId="7" w16cid:durableId="337195361">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linkStyle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C0B"/>
    <w:rsid w:val="000133F3"/>
    <w:rsid w:val="000230D5"/>
    <w:rsid w:val="00032AD3"/>
    <w:rsid w:val="000B2715"/>
    <w:rsid w:val="000C335E"/>
    <w:rsid w:val="000E5DA5"/>
    <w:rsid w:val="000F0E07"/>
    <w:rsid w:val="00123702"/>
    <w:rsid w:val="00123D49"/>
    <w:rsid w:val="0016778A"/>
    <w:rsid w:val="001A075E"/>
    <w:rsid w:val="001D74C0"/>
    <w:rsid w:val="001F2C5F"/>
    <w:rsid w:val="002433D0"/>
    <w:rsid w:val="00244CB3"/>
    <w:rsid w:val="002655CF"/>
    <w:rsid w:val="00271A31"/>
    <w:rsid w:val="00285C38"/>
    <w:rsid w:val="00300363"/>
    <w:rsid w:val="00341B80"/>
    <w:rsid w:val="00343C0B"/>
    <w:rsid w:val="00375FCD"/>
    <w:rsid w:val="00391BFA"/>
    <w:rsid w:val="00465A37"/>
    <w:rsid w:val="00492381"/>
    <w:rsid w:val="004C5755"/>
    <w:rsid w:val="005D1522"/>
    <w:rsid w:val="00616E3C"/>
    <w:rsid w:val="00621B05"/>
    <w:rsid w:val="00624E7C"/>
    <w:rsid w:val="0067721D"/>
    <w:rsid w:val="006B5B60"/>
    <w:rsid w:val="006C3E44"/>
    <w:rsid w:val="00744DE0"/>
    <w:rsid w:val="00775EFB"/>
    <w:rsid w:val="00787940"/>
    <w:rsid w:val="007A3697"/>
    <w:rsid w:val="007B68FF"/>
    <w:rsid w:val="007E0E8C"/>
    <w:rsid w:val="007F7119"/>
    <w:rsid w:val="00891A98"/>
    <w:rsid w:val="008B2913"/>
    <w:rsid w:val="008C1877"/>
    <w:rsid w:val="00902F0D"/>
    <w:rsid w:val="00915FD7"/>
    <w:rsid w:val="00950CCF"/>
    <w:rsid w:val="00953A09"/>
    <w:rsid w:val="00976CA2"/>
    <w:rsid w:val="009B4032"/>
    <w:rsid w:val="00A01E01"/>
    <w:rsid w:val="00A1087A"/>
    <w:rsid w:val="00A64F8B"/>
    <w:rsid w:val="00AB5921"/>
    <w:rsid w:val="00AB7936"/>
    <w:rsid w:val="00AC71F6"/>
    <w:rsid w:val="00AF441F"/>
    <w:rsid w:val="00B13E90"/>
    <w:rsid w:val="00B20209"/>
    <w:rsid w:val="00B535BB"/>
    <w:rsid w:val="00B54444"/>
    <w:rsid w:val="00B7010C"/>
    <w:rsid w:val="00B8166B"/>
    <w:rsid w:val="00BB4098"/>
    <w:rsid w:val="00BE6D9E"/>
    <w:rsid w:val="00C75915"/>
    <w:rsid w:val="00C97B50"/>
    <w:rsid w:val="00CA3AE0"/>
    <w:rsid w:val="00CD2AF4"/>
    <w:rsid w:val="00CE104F"/>
    <w:rsid w:val="00D44AE9"/>
    <w:rsid w:val="00D669A7"/>
    <w:rsid w:val="00D75772"/>
    <w:rsid w:val="00D90781"/>
    <w:rsid w:val="00DB1E6B"/>
    <w:rsid w:val="00DC1054"/>
    <w:rsid w:val="00DD607B"/>
    <w:rsid w:val="00E12128"/>
    <w:rsid w:val="00E22229"/>
    <w:rsid w:val="00E318BF"/>
    <w:rsid w:val="00EE4461"/>
    <w:rsid w:val="00F5362A"/>
    <w:rsid w:val="00F918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ED089E"/>
  <w15:chartTrackingRefBased/>
  <w15:docId w15:val="{6B2E4992-ABE7-4DE9-AE92-647E99C58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CA2"/>
    <w:pPr>
      <w:spacing w:line="278" w:lineRule="auto"/>
    </w:pPr>
    <w:rPr>
      <w:kern w:val="2"/>
      <w:sz w:val="24"/>
      <w:szCs w:val="24"/>
      <w14:ligatures w14:val="standardContextual"/>
    </w:rPr>
  </w:style>
  <w:style w:type="paragraph" w:styleId="Titre1">
    <w:name w:val="heading 1"/>
    <w:basedOn w:val="Normal"/>
    <w:next w:val="Normal"/>
    <w:link w:val="Titre1Car"/>
    <w:uiPriority w:val="9"/>
    <w:qFormat/>
    <w:rsid w:val="00B54444"/>
    <w:pPr>
      <w:keepNext/>
      <w:pBdr>
        <w:left w:val="single" w:sz="48" w:space="14" w:color="D9E2F3" w:themeColor="accent5" w:themeTint="33"/>
      </w:pBdr>
      <w:spacing w:before="240" w:after="240" w:line="260" w:lineRule="atLeast"/>
      <w:ind w:left="284"/>
      <w:outlineLvl w:val="0"/>
    </w:pPr>
    <w:rPr>
      <w:rFonts w:ascii="Marianne" w:hAnsi="Marianne"/>
      <w:b/>
      <w:bCs/>
      <w:color w:val="2D1F90"/>
      <w:sz w:val="48"/>
      <w:szCs w:val="36"/>
    </w:rPr>
  </w:style>
  <w:style w:type="paragraph" w:styleId="Titre2">
    <w:name w:val="heading 2"/>
    <w:basedOn w:val="Normal"/>
    <w:next w:val="Normal"/>
    <w:link w:val="Titre2Car"/>
    <w:uiPriority w:val="9"/>
    <w:unhideWhenUsed/>
    <w:qFormat/>
    <w:rsid w:val="00B54444"/>
    <w:pPr>
      <w:keepNext/>
      <w:pBdr>
        <w:left w:val="single" w:sz="48" w:space="12" w:color="D9E2F3" w:themeColor="accent5" w:themeTint="33"/>
      </w:pBdr>
      <w:spacing w:before="240" w:after="240" w:line="260" w:lineRule="atLeast"/>
      <w:ind w:left="284"/>
      <w:outlineLvl w:val="1"/>
    </w:pPr>
    <w:rPr>
      <w:rFonts w:ascii="Marianne Medium" w:hAnsi="Marianne Medium"/>
      <w:color w:val="2D1F90"/>
      <w:sz w:val="36"/>
      <w:szCs w:val="26"/>
    </w:rPr>
  </w:style>
  <w:style w:type="paragraph" w:styleId="Titre3">
    <w:name w:val="heading 3"/>
    <w:basedOn w:val="Normal"/>
    <w:next w:val="Normal"/>
    <w:link w:val="Titre3Car"/>
    <w:uiPriority w:val="9"/>
    <w:unhideWhenUsed/>
    <w:qFormat/>
    <w:rsid w:val="00B54444"/>
    <w:pPr>
      <w:keepNext/>
      <w:spacing w:before="120" w:after="240" w:line="260" w:lineRule="atLeast"/>
      <w:outlineLvl w:val="2"/>
    </w:pPr>
    <w:rPr>
      <w:rFonts w:ascii="Marianne" w:hAnsi="Marianne"/>
      <w:b/>
      <w:sz w:val="28"/>
      <w:szCs w:val="28"/>
    </w:rPr>
  </w:style>
  <w:style w:type="paragraph" w:styleId="Titre4">
    <w:name w:val="heading 4"/>
    <w:basedOn w:val="Normal"/>
    <w:next w:val="Normal"/>
    <w:link w:val="Titre4Car"/>
    <w:uiPriority w:val="9"/>
    <w:unhideWhenUsed/>
    <w:rsid w:val="00B54444"/>
    <w:pPr>
      <w:keepNext/>
      <w:spacing w:before="120" w:after="180" w:line="260" w:lineRule="atLeast"/>
      <w:ind w:left="397"/>
      <w:outlineLvl w:val="3"/>
    </w:pPr>
  </w:style>
  <w:style w:type="paragraph" w:styleId="Titre5">
    <w:name w:val="heading 5"/>
    <w:aliases w:val="Titre 5 ne pas utiliser"/>
    <w:basedOn w:val="Normal"/>
    <w:next w:val="Normal"/>
    <w:link w:val="Titre5Car"/>
    <w:uiPriority w:val="9"/>
    <w:unhideWhenUsed/>
    <w:qFormat/>
    <w:rsid w:val="00B54444"/>
    <w:pPr>
      <w:keepNext/>
      <w:keepLines/>
      <w:spacing w:before="200" w:after="0" w:line="260" w:lineRule="atLeast"/>
      <w:outlineLvl w:val="4"/>
    </w:pPr>
    <w:rPr>
      <w:rFonts w:eastAsiaTheme="majorEastAsia" w:cstheme="majorBidi"/>
      <w:b/>
      <w:bCs/>
      <w:color w:val="000000" w:themeColor="text1"/>
      <w:sz w:val="22"/>
    </w:rPr>
  </w:style>
  <w:style w:type="paragraph" w:styleId="Titre6">
    <w:name w:val="heading 6"/>
    <w:basedOn w:val="Normal"/>
    <w:next w:val="Normal"/>
    <w:link w:val="Titre6Car"/>
    <w:uiPriority w:val="9"/>
    <w:unhideWhenUsed/>
    <w:qFormat/>
    <w:rsid w:val="00B54444"/>
    <w:pPr>
      <w:keepNext/>
      <w:keepLines/>
      <w:spacing w:before="320" w:after="240" w:line="260" w:lineRule="atLeast"/>
      <w:outlineLvl w:val="5"/>
    </w:pPr>
    <w:rPr>
      <w:rFonts w:ascii="Arial" w:eastAsia="Arial" w:hAnsi="Arial" w:cs="Arial"/>
      <w:b/>
      <w:bCs/>
    </w:rPr>
  </w:style>
  <w:style w:type="paragraph" w:styleId="Titre7">
    <w:name w:val="heading 7"/>
    <w:basedOn w:val="Normal"/>
    <w:next w:val="Normal"/>
    <w:link w:val="Titre7Car"/>
    <w:uiPriority w:val="9"/>
    <w:unhideWhenUsed/>
    <w:qFormat/>
    <w:rsid w:val="00B54444"/>
    <w:pPr>
      <w:keepNext/>
      <w:keepLines/>
      <w:spacing w:before="320" w:after="240" w:line="260" w:lineRule="atLeast"/>
      <w:outlineLvl w:val="6"/>
    </w:pPr>
    <w:rPr>
      <w:rFonts w:ascii="Arial" w:eastAsia="Arial" w:hAnsi="Arial" w:cs="Arial"/>
      <w:b/>
      <w:bCs/>
      <w:i/>
      <w:iCs/>
    </w:rPr>
  </w:style>
  <w:style w:type="paragraph" w:styleId="Titre8">
    <w:name w:val="heading 8"/>
    <w:basedOn w:val="Normal"/>
    <w:next w:val="Normal"/>
    <w:link w:val="Titre8Car"/>
    <w:uiPriority w:val="9"/>
    <w:unhideWhenUsed/>
    <w:qFormat/>
    <w:rsid w:val="00B54444"/>
    <w:pPr>
      <w:keepNext/>
      <w:keepLines/>
      <w:spacing w:before="320" w:after="240" w:line="260" w:lineRule="atLeast"/>
      <w:outlineLvl w:val="7"/>
    </w:pPr>
    <w:rPr>
      <w:rFonts w:ascii="Arial" w:eastAsia="Arial" w:hAnsi="Arial" w:cs="Arial"/>
      <w:i/>
      <w:iCs/>
    </w:rPr>
  </w:style>
  <w:style w:type="paragraph" w:styleId="Titre9">
    <w:name w:val="heading 9"/>
    <w:basedOn w:val="Normal"/>
    <w:next w:val="Normal"/>
    <w:link w:val="Titre9Car"/>
    <w:uiPriority w:val="9"/>
    <w:unhideWhenUsed/>
    <w:qFormat/>
    <w:rsid w:val="00B54444"/>
    <w:pPr>
      <w:keepNext/>
      <w:keepLines/>
      <w:spacing w:before="320" w:after="240" w:line="260" w:lineRule="atLeast"/>
      <w:outlineLvl w:val="8"/>
    </w:pPr>
    <w:rPr>
      <w:rFonts w:ascii="Arial" w:eastAsia="Arial" w:hAnsi="Arial" w:cs="Arial"/>
      <w:i/>
      <w:iCs/>
      <w:sz w:val="21"/>
      <w:szCs w:val="21"/>
    </w:rPr>
  </w:style>
  <w:style w:type="character" w:default="1" w:styleId="Policepardfaut">
    <w:name w:val="Default Paragraph Font"/>
    <w:uiPriority w:val="1"/>
    <w:semiHidden/>
    <w:unhideWhenUsed/>
    <w:rsid w:val="00976CA2"/>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976CA2"/>
  </w:style>
  <w:style w:type="character" w:customStyle="1" w:styleId="Titre1Car">
    <w:name w:val="Titre 1 Car"/>
    <w:basedOn w:val="Policepardfaut"/>
    <w:link w:val="Titre1"/>
    <w:uiPriority w:val="9"/>
    <w:rsid w:val="00B54444"/>
    <w:rPr>
      <w:rFonts w:ascii="Marianne" w:hAnsi="Marianne"/>
      <w:b/>
      <w:bCs/>
      <w:color w:val="2D1F90"/>
      <w:sz w:val="48"/>
      <w:szCs w:val="36"/>
    </w:rPr>
  </w:style>
  <w:style w:type="character" w:customStyle="1" w:styleId="Titre2Car">
    <w:name w:val="Titre 2 Car"/>
    <w:basedOn w:val="Policepardfaut"/>
    <w:link w:val="Titre2"/>
    <w:uiPriority w:val="9"/>
    <w:rsid w:val="00B54444"/>
    <w:rPr>
      <w:rFonts w:ascii="Marianne Medium" w:hAnsi="Marianne Medium"/>
      <w:color w:val="2D1F90"/>
      <w:sz w:val="36"/>
      <w:szCs w:val="26"/>
    </w:rPr>
  </w:style>
  <w:style w:type="character" w:customStyle="1" w:styleId="Titre3Car">
    <w:name w:val="Titre 3 Car"/>
    <w:basedOn w:val="Policepardfaut"/>
    <w:link w:val="Titre3"/>
    <w:uiPriority w:val="9"/>
    <w:rsid w:val="00B54444"/>
    <w:rPr>
      <w:rFonts w:ascii="Marianne" w:hAnsi="Marianne"/>
      <w:b/>
      <w:sz w:val="28"/>
      <w:szCs w:val="28"/>
    </w:rPr>
  </w:style>
  <w:style w:type="character" w:customStyle="1" w:styleId="Titre4Car">
    <w:name w:val="Titre 4 Car"/>
    <w:basedOn w:val="Policepardfaut"/>
    <w:link w:val="Titre4"/>
    <w:uiPriority w:val="9"/>
    <w:rsid w:val="00B54444"/>
    <w:rPr>
      <w:rFonts w:ascii="Marianne Light" w:hAnsi="Marianne Light"/>
      <w:sz w:val="24"/>
      <w:szCs w:val="24"/>
    </w:rPr>
  </w:style>
  <w:style w:type="character" w:customStyle="1" w:styleId="Titre5Car">
    <w:name w:val="Titre 5 Car"/>
    <w:aliases w:val="Titre 5 ne pas utiliser Car"/>
    <w:basedOn w:val="Policepardfaut"/>
    <w:link w:val="Titre5"/>
    <w:uiPriority w:val="9"/>
    <w:rsid w:val="00B54444"/>
    <w:rPr>
      <w:rFonts w:ascii="Marianne Light" w:eastAsiaTheme="majorEastAsia" w:hAnsi="Marianne Light" w:cstheme="majorBidi"/>
      <w:b/>
      <w:bCs/>
      <w:color w:val="000000" w:themeColor="text1"/>
    </w:rPr>
  </w:style>
  <w:style w:type="character" w:customStyle="1" w:styleId="Titre6Car">
    <w:name w:val="Titre 6 Car"/>
    <w:basedOn w:val="Policepardfaut"/>
    <w:link w:val="Titre6"/>
    <w:uiPriority w:val="9"/>
    <w:rsid w:val="00B54444"/>
    <w:rPr>
      <w:rFonts w:ascii="Arial" w:eastAsia="Arial" w:hAnsi="Arial" w:cs="Arial"/>
      <w:b/>
      <w:bCs/>
      <w:sz w:val="20"/>
    </w:rPr>
  </w:style>
  <w:style w:type="character" w:customStyle="1" w:styleId="Titre7Car">
    <w:name w:val="Titre 7 Car"/>
    <w:basedOn w:val="Policepardfaut"/>
    <w:link w:val="Titre7"/>
    <w:uiPriority w:val="9"/>
    <w:rsid w:val="00B54444"/>
    <w:rPr>
      <w:rFonts w:ascii="Arial" w:eastAsia="Arial" w:hAnsi="Arial" w:cs="Arial"/>
      <w:b/>
      <w:bCs/>
      <w:i/>
      <w:iCs/>
      <w:sz w:val="20"/>
    </w:rPr>
  </w:style>
  <w:style w:type="character" w:customStyle="1" w:styleId="Titre8Car">
    <w:name w:val="Titre 8 Car"/>
    <w:basedOn w:val="Policepardfaut"/>
    <w:link w:val="Titre8"/>
    <w:uiPriority w:val="9"/>
    <w:rsid w:val="00B54444"/>
    <w:rPr>
      <w:rFonts w:ascii="Arial" w:eastAsia="Arial" w:hAnsi="Arial" w:cs="Arial"/>
      <w:i/>
      <w:iCs/>
      <w:sz w:val="20"/>
    </w:rPr>
  </w:style>
  <w:style w:type="character" w:customStyle="1" w:styleId="Titre9Car">
    <w:name w:val="Titre 9 Car"/>
    <w:basedOn w:val="Policepardfaut"/>
    <w:link w:val="Titre9"/>
    <w:uiPriority w:val="9"/>
    <w:rsid w:val="00B54444"/>
    <w:rPr>
      <w:rFonts w:ascii="Arial" w:eastAsia="Arial" w:hAnsi="Arial" w:cs="Arial"/>
      <w:i/>
      <w:iCs/>
      <w:sz w:val="21"/>
      <w:szCs w:val="21"/>
    </w:rPr>
  </w:style>
  <w:style w:type="character" w:styleId="Appeldenotedefin">
    <w:name w:val="endnote reference"/>
    <w:basedOn w:val="Policepardfaut"/>
    <w:uiPriority w:val="99"/>
    <w:semiHidden/>
    <w:unhideWhenUsed/>
    <w:rsid w:val="00B54444"/>
    <w:rPr>
      <w:vertAlign w:val="superscript"/>
    </w:rPr>
  </w:style>
  <w:style w:type="character" w:styleId="Appelnotedebasdep">
    <w:name w:val="footnote reference"/>
    <w:basedOn w:val="Policepardfaut"/>
    <w:uiPriority w:val="4"/>
    <w:rsid w:val="00B54444"/>
    <w:rPr>
      <w:b/>
      <w:color w:val="auto"/>
      <w:sz w:val="20"/>
      <w:vertAlign w:val="superscript"/>
    </w:rPr>
  </w:style>
  <w:style w:type="paragraph" w:styleId="Commentaire">
    <w:name w:val="annotation text"/>
    <w:basedOn w:val="Normal"/>
    <w:link w:val="CommentaireCar"/>
    <w:uiPriority w:val="99"/>
    <w:unhideWhenUsed/>
    <w:qFormat/>
    <w:rsid w:val="00B54444"/>
    <w:pPr>
      <w:spacing w:after="240" w:line="240" w:lineRule="auto"/>
    </w:pPr>
    <w:rPr>
      <w:szCs w:val="20"/>
    </w:rPr>
  </w:style>
  <w:style w:type="character" w:customStyle="1" w:styleId="CommentaireCar">
    <w:name w:val="Commentaire Car"/>
    <w:basedOn w:val="Policepardfaut"/>
    <w:link w:val="Commentaire"/>
    <w:uiPriority w:val="99"/>
    <w:qFormat/>
    <w:rsid w:val="00B54444"/>
    <w:rPr>
      <w:rFonts w:ascii="Marianne Light" w:hAnsi="Marianne Light"/>
      <w:sz w:val="20"/>
      <w:szCs w:val="20"/>
    </w:rPr>
  </w:style>
  <w:style w:type="paragraph" w:customStyle="1" w:styleId="TableParagraph">
    <w:name w:val="Table Paragraph"/>
    <w:basedOn w:val="Normal"/>
    <w:uiPriority w:val="99"/>
    <w:unhideWhenUsed/>
    <w:qFormat/>
    <w:rsid w:val="00B54444"/>
    <w:pPr>
      <w:widowControl w:val="0"/>
      <w:autoSpaceDE w:val="0"/>
      <w:autoSpaceDN w:val="0"/>
      <w:spacing w:before="78" w:after="0" w:line="240" w:lineRule="auto"/>
      <w:ind w:left="132"/>
    </w:pPr>
    <w:rPr>
      <w:rFonts w:eastAsia="Marianne Light" w:cs="Marianne Light"/>
    </w:rPr>
  </w:style>
  <w:style w:type="paragraph" w:customStyle="1" w:styleId="Contenudetableau">
    <w:name w:val="Contenu de tableau"/>
    <w:basedOn w:val="TableParagraph"/>
    <w:uiPriority w:val="2"/>
    <w:rsid w:val="00B54444"/>
    <w:pPr>
      <w:spacing w:before="40" w:after="40"/>
      <w:ind w:left="57" w:right="57"/>
    </w:pPr>
    <w:rPr>
      <w:color w:val="231F20"/>
      <w:sz w:val="18"/>
    </w:rPr>
  </w:style>
  <w:style w:type="paragraph" w:styleId="Date">
    <w:name w:val="Date"/>
    <w:basedOn w:val="Normal"/>
    <w:next w:val="Normal"/>
    <w:link w:val="DateCar"/>
    <w:uiPriority w:val="99"/>
    <w:semiHidden/>
    <w:unhideWhenUsed/>
    <w:rsid w:val="00B54444"/>
    <w:pPr>
      <w:spacing w:after="240" w:line="260" w:lineRule="atLeast"/>
    </w:pPr>
  </w:style>
  <w:style w:type="character" w:customStyle="1" w:styleId="DateCar">
    <w:name w:val="Date Car"/>
    <w:basedOn w:val="Policepardfaut"/>
    <w:link w:val="Date"/>
    <w:uiPriority w:val="99"/>
    <w:semiHidden/>
    <w:rsid w:val="00B54444"/>
    <w:rPr>
      <w:rFonts w:ascii="Marianne Light" w:hAnsi="Marianne Light"/>
      <w:sz w:val="20"/>
    </w:rPr>
  </w:style>
  <w:style w:type="paragraph" w:customStyle="1" w:styleId="Encadrcontexte">
    <w:name w:val="Encadré contexte"/>
    <w:basedOn w:val="Normal"/>
    <w:qFormat/>
    <w:rsid w:val="00B54444"/>
    <w:pPr>
      <w:pBdr>
        <w:top w:val="single" w:sz="8" w:space="1" w:color="215479"/>
        <w:left w:val="single" w:sz="8" w:space="4" w:color="215479"/>
        <w:bottom w:val="single" w:sz="8" w:space="1" w:color="215479"/>
        <w:right w:val="single" w:sz="8" w:space="4" w:color="215479"/>
      </w:pBdr>
      <w:shd w:val="clear" w:color="auto" w:fill="FEFBF9"/>
      <w:spacing w:before="40" w:after="0" w:line="240" w:lineRule="atLeast"/>
      <w:ind w:left="170"/>
    </w:pPr>
    <w:rPr>
      <w:sz w:val="18"/>
      <w:szCs w:val="21"/>
    </w:rPr>
  </w:style>
  <w:style w:type="paragraph" w:customStyle="1" w:styleId="Encadrcontextetitre">
    <w:name w:val="Encadré contexte (titre)"/>
    <w:basedOn w:val="Normal"/>
    <w:qFormat/>
    <w:rsid w:val="00B54444"/>
    <w:pPr>
      <w:pBdr>
        <w:top w:val="single" w:sz="8" w:space="1" w:color="215479"/>
        <w:left w:val="single" w:sz="8" w:space="4" w:color="215479"/>
        <w:bottom w:val="single" w:sz="8" w:space="1" w:color="215479"/>
        <w:right w:val="single" w:sz="8" w:space="4" w:color="215479"/>
      </w:pBdr>
      <w:shd w:val="clear" w:color="auto" w:fill="FEFBF9"/>
      <w:spacing w:before="120" w:after="0" w:line="260" w:lineRule="atLeast"/>
      <w:ind w:left="170"/>
    </w:pPr>
    <w:rPr>
      <w:rFonts w:ascii="Marianne" w:hAnsi="Marianne"/>
      <w:b/>
      <w:bCs/>
      <w:color w:val="22557A"/>
    </w:rPr>
  </w:style>
  <w:style w:type="paragraph" w:customStyle="1" w:styleId="Encadrdocumenttitre">
    <w:name w:val="Encadré document (titre)"/>
    <w:basedOn w:val="Normal"/>
    <w:qFormat/>
    <w:rsid w:val="00B54444"/>
    <w:pPr>
      <w:pBdr>
        <w:top w:val="single" w:sz="48" w:space="1" w:color="EDF1F9"/>
        <w:left w:val="single" w:sz="48" w:space="0" w:color="EDF1F9"/>
        <w:bottom w:val="single" w:sz="48" w:space="1" w:color="EDF1F9"/>
        <w:right w:val="single" w:sz="48" w:space="4" w:color="EDF1F9"/>
      </w:pBdr>
      <w:shd w:val="clear" w:color="auto" w:fill="EDF1F9"/>
      <w:spacing w:before="120" w:after="0" w:line="288" w:lineRule="auto"/>
      <w:ind w:left="170"/>
    </w:pPr>
    <w:rPr>
      <w:rFonts w:ascii="Marianne" w:hAnsi="Marianne"/>
      <w:b/>
      <w:color w:val="2D1F90"/>
    </w:rPr>
  </w:style>
  <w:style w:type="paragraph" w:customStyle="1" w:styleId="Encadrdocument">
    <w:name w:val="Encadré document"/>
    <w:basedOn w:val="Encadrdocumenttitre"/>
    <w:qFormat/>
    <w:rsid w:val="00B54444"/>
    <w:pPr>
      <w:spacing w:before="40" w:line="240" w:lineRule="atLeast"/>
    </w:pPr>
    <w:rPr>
      <w:rFonts w:ascii="Marianne Light" w:hAnsi="Marianne Light"/>
      <w:b w:val="0"/>
      <w:bCs/>
      <w:color w:val="auto"/>
      <w:sz w:val="18"/>
      <w:szCs w:val="21"/>
    </w:rPr>
  </w:style>
  <w:style w:type="paragraph" w:styleId="En-tte">
    <w:name w:val="header"/>
    <w:basedOn w:val="Normal"/>
    <w:link w:val="En-tteCar"/>
    <w:uiPriority w:val="99"/>
    <w:unhideWhenUsed/>
    <w:rsid w:val="00B54444"/>
    <w:pPr>
      <w:tabs>
        <w:tab w:val="center" w:pos="4536"/>
        <w:tab w:val="right" w:pos="9072"/>
      </w:tabs>
      <w:spacing w:after="0" w:line="240" w:lineRule="auto"/>
    </w:pPr>
  </w:style>
  <w:style w:type="character" w:customStyle="1" w:styleId="En-tteCar">
    <w:name w:val="En-tête Car"/>
    <w:basedOn w:val="Policepardfaut"/>
    <w:link w:val="En-tte"/>
    <w:uiPriority w:val="99"/>
    <w:rsid w:val="00B54444"/>
    <w:rPr>
      <w:rFonts w:ascii="Marianne Light" w:hAnsi="Marianne Light"/>
      <w:sz w:val="20"/>
    </w:rPr>
  </w:style>
  <w:style w:type="paragraph" w:styleId="En-ttedetabledesmatires">
    <w:name w:val="TOC Heading"/>
    <w:aliases w:val="En-tête Sommaire"/>
    <w:basedOn w:val="Normal"/>
    <w:next w:val="Normal"/>
    <w:uiPriority w:val="39"/>
    <w:unhideWhenUsed/>
    <w:qFormat/>
    <w:rsid w:val="00B54444"/>
    <w:pPr>
      <w:spacing w:after="240" w:line="260" w:lineRule="atLeast"/>
      <w:ind w:left="426"/>
    </w:pPr>
    <w:rPr>
      <w:rFonts w:ascii="Marianne ExtraBold" w:hAnsi="Marianne ExtraBold"/>
      <w:b/>
      <w:bCs/>
      <w:color w:val="215479"/>
      <w:sz w:val="30"/>
      <w:szCs w:val="30"/>
    </w:rPr>
  </w:style>
  <w:style w:type="table" w:styleId="Grilledetableauclaire">
    <w:name w:val="Grid Table Light"/>
    <w:basedOn w:val="TableauNormal"/>
    <w:uiPriority w:val="40"/>
    <w:rsid w:val="00B54444"/>
    <w:pPr>
      <w:spacing w:after="0" w:line="240" w:lineRule="auto"/>
    </w:pPr>
    <w:rPr>
      <w:rFonts w:eastAsiaTheme="minorEastAsia"/>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lledutableau">
    <w:name w:val="Table Grid"/>
    <w:basedOn w:val="TableauNormal"/>
    <w:uiPriority w:val="39"/>
    <w:rsid w:val="00B54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54444"/>
    <w:rPr>
      <w:color w:val="0563C1" w:themeColor="hyperlink"/>
      <w:u w:val="single"/>
    </w:rPr>
  </w:style>
  <w:style w:type="character" w:styleId="Lienhypertextesuivivisit">
    <w:name w:val="FollowedHyperlink"/>
    <w:semiHidden/>
    <w:rsid w:val="00B54444"/>
    <w:rPr>
      <w:color w:val="800080"/>
      <w:u w:val="single"/>
    </w:rPr>
  </w:style>
  <w:style w:type="table" w:styleId="Listeclaire-Accent4">
    <w:name w:val="Light List Accent 4"/>
    <w:basedOn w:val="TableauNormal"/>
    <w:uiPriority w:val="61"/>
    <w:rsid w:val="00B5444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customStyle="1" w:styleId="Listetableau">
    <w:name w:val="Liste tableau"/>
    <w:basedOn w:val="TableParagraph"/>
    <w:uiPriority w:val="2"/>
    <w:qFormat/>
    <w:rsid w:val="00B54444"/>
    <w:pPr>
      <w:numPr>
        <w:numId w:val="1"/>
      </w:numPr>
      <w:spacing w:before="0" w:after="40"/>
      <w:ind w:right="811"/>
      <w:contextualSpacing/>
    </w:pPr>
    <w:rPr>
      <w:color w:val="231F20"/>
      <w:sz w:val="18"/>
    </w:rPr>
  </w:style>
  <w:style w:type="character" w:styleId="Marquedecommentaire">
    <w:name w:val="annotation reference"/>
    <w:qFormat/>
    <w:rsid w:val="00B54444"/>
    <w:rPr>
      <w:sz w:val="16"/>
      <w:szCs w:val="16"/>
    </w:rPr>
  </w:style>
  <w:style w:type="character" w:customStyle="1" w:styleId="Mentionnonrsolue1">
    <w:name w:val="Mention non résolue1"/>
    <w:basedOn w:val="Policepardfaut"/>
    <w:uiPriority w:val="99"/>
    <w:semiHidden/>
    <w:unhideWhenUsed/>
    <w:rsid w:val="00B54444"/>
    <w:rPr>
      <w:color w:val="605E5C"/>
      <w:shd w:val="clear" w:color="auto" w:fill="E1DFDD"/>
    </w:rPr>
  </w:style>
  <w:style w:type="paragraph" w:styleId="NormalWeb">
    <w:name w:val="Normal (Web)"/>
    <w:basedOn w:val="Normal"/>
    <w:uiPriority w:val="99"/>
    <w:unhideWhenUsed/>
    <w:rsid w:val="00B54444"/>
    <w:pPr>
      <w:spacing w:before="100" w:beforeAutospacing="1" w:after="100" w:afterAutospacing="1" w:line="240" w:lineRule="auto"/>
    </w:pPr>
    <w:rPr>
      <w:rFonts w:ascii="Times New Roman" w:eastAsia="Times New Roman" w:hAnsi="Times New Roman" w:cs="Times New Roman"/>
      <w:lang w:eastAsia="fr-FR"/>
    </w:rPr>
  </w:style>
  <w:style w:type="paragraph" w:styleId="Notedebasdepage">
    <w:name w:val="footnote text"/>
    <w:basedOn w:val="Normal"/>
    <w:link w:val="NotedebasdepageCar"/>
    <w:uiPriority w:val="4"/>
    <w:rsid w:val="00B54444"/>
    <w:pPr>
      <w:spacing w:after="120" w:line="240" w:lineRule="auto"/>
      <w:ind w:left="113" w:hanging="113"/>
      <w:contextualSpacing/>
    </w:pPr>
    <w:rPr>
      <w:sz w:val="16"/>
      <w:szCs w:val="20"/>
    </w:rPr>
  </w:style>
  <w:style w:type="character" w:customStyle="1" w:styleId="NotedebasdepageCar">
    <w:name w:val="Note de bas de page Car"/>
    <w:basedOn w:val="Policepardfaut"/>
    <w:link w:val="Notedebasdepage"/>
    <w:uiPriority w:val="4"/>
    <w:rsid w:val="00B54444"/>
    <w:rPr>
      <w:rFonts w:ascii="Marianne Light" w:hAnsi="Marianne Light"/>
      <w:sz w:val="16"/>
      <w:szCs w:val="20"/>
    </w:rPr>
  </w:style>
  <w:style w:type="paragraph" w:styleId="Notedefin">
    <w:name w:val="endnote text"/>
    <w:basedOn w:val="Normal"/>
    <w:link w:val="NotedefinCar"/>
    <w:uiPriority w:val="99"/>
    <w:semiHidden/>
    <w:unhideWhenUsed/>
    <w:rsid w:val="00B54444"/>
    <w:pPr>
      <w:spacing w:after="0" w:line="240" w:lineRule="auto"/>
    </w:pPr>
    <w:rPr>
      <w:szCs w:val="20"/>
    </w:rPr>
  </w:style>
  <w:style w:type="character" w:customStyle="1" w:styleId="NotedefinCar">
    <w:name w:val="Note de fin Car"/>
    <w:basedOn w:val="Policepardfaut"/>
    <w:link w:val="Notedefin"/>
    <w:uiPriority w:val="99"/>
    <w:semiHidden/>
    <w:rsid w:val="00B54444"/>
    <w:rPr>
      <w:rFonts w:ascii="Marianne Light" w:hAnsi="Marianne Light"/>
      <w:sz w:val="20"/>
      <w:szCs w:val="20"/>
    </w:rPr>
  </w:style>
  <w:style w:type="paragraph" w:styleId="Objetducommentaire">
    <w:name w:val="annotation subject"/>
    <w:basedOn w:val="Commentaire"/>
    <w:next w:val="Commentaire"/>
    <w:link w:val="ObjetducommentaireCar"/>
    <w:uiPriority w:val="99"/>
    <w:semiHidden/>
    <w:unhideWhenUsed/>
    <w:rsid w:val="00B54444"/>
    <w:rPr>
      <w:b/>
      <w:bCs/>
    </w:rPr>
  </w:style>
  <w:style w:type="character" w:customStyle="1" w:styleId="ObjetducommentaireCar">
    <w:name w:val="Objet du commentaire Car"/>
    <w:basedOn w:val="CommentaireCar"/>
    <w:link w:val="Objetducommentaire"/>
    <w:uiPriority w:val="99"/>
    <w:semiHidden/>
    <w:rsid w:val="00B54444"/>
    <w:rPr>
      <w:rFonts w:ascii="Marianne Light" w:hAnsi="Marianne Light"/>
      <w:b/>
      <w:bCs/>
      <w:sz w:val="20"/>
      <w:szCs w:val="20"/>
    </w:rPr>
  </w:style>
  <w:style w:type="paragraph" w:styleId="Paragraphedeliste">
    <w:name w:val="List Paragraph"/>
    <w:basedOn w:val="Normal"/>
    <w:link w:val="ParagraphedelisteCar"/>
    <w:uiPriority w:val="34"/>
    <w:qFormat/>
    <w:rsid w:val="00B54444"/>
    <w:pPr>
      <w:numPr>
        <w:numId w:val="2"/>
      </w:numPr>
      <w:spacing w:after="240" w:line="260" w:lineRule="atLeast"/>
      <w:contextualSpacing/>
    </w:pPr>
  </w:style>
  <w:style w:type="character" w:customStyle="1" w:styleId="ParagraphedelisteCar">
    <w:name w:val="Paragraphe de liste Car"/>
    <w:link w:val="Paragraphedeliste"/>
    <w:uiPriority w:val="34"/>
    <w:rsid w:val="00B54444"/>
    <w:rPr>
      <w:rFonts w:ascii="Marianne Light" w:hAnsi="Marianne Light"/>
      <w:sz w:val="20"/>
    </w:rPr>
  </w:style>
  <w:style w:type="paragraph" w:styleId="Pieddepage">
    <w:name w:val="footer"/>
    <w:basedOn w:val="Normal"/>
    <w:link w:val="PieddepageCar"/>
    <w:uiPriority w:val="99"/>
    <w:unhideWhenUsed/>
    <w:rsid w:val="00B5444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54444"/>
    <w:rPr>
      <w:rFonts w:ascii="Marianne Light" w:hAnsi="Marianne Light"/>
      <w:sz w:val="20"/>
    </w:rPr>
  </w:style>
  <w:style w:type="paragraph" w:styleId="Sous-titre">
    <w:name w:val="Subtitle"/>
    <w:basedOn w:val="Normal"/>
    <w:next w:val="Normal"/>
    <w:link w:val="Sous-titreCar"/>
    <w:uiPriority w:val="9"/>
    <w:rsid w:val="00B54444"/>
    <w:pPr>
      <w:spacing w:after="600" w:line="260" w:lineRule="atLeast"/>
    </w:pPr>
    <w:rPr>
      <w:sz w:val="36"/>
      <w:szCs w:val="36"/>
    </w:rPr>
  </w:style>
  <w:style w:type="character" w:customStyle="1" w:styleId="Sous-titreCar">
    <w:name w:val="Sous-titre Car"/>
    <w:basedOn w:val="Policepardfaut"/>
    <w:link w:val="Sous-titre"/>
    <w:uiPriority w:val="9"/>
    <w:rsid w:val="00B54444"/>
    <w:rPr>
      <w:rFonts w:ascii="Marianne Light" w:hAnsi="Marianne Light"/>
      <w:sz w:val="36"/>
      <w:szCs w:val="36"/>
    </w:rPr>
  </w:style>
  <w:style w:type="table" w:customStyle="1" w:styleId="TableNormal">
    <w:name w:val="Table Normal"/>
    <w:uiPriority w:val="2"/>
    <w:semiHidden/>
    <w:unhideWhenUsed/>
    <w:qFormat/>
    <w:rsid w:val="00B5444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auentte1L">
    <w:name w:val="Tableau entête 1L"/>
    <w:basedOn w:val="TableauNormal"/>
    <w:uiPriority w:val="99"/>
    <w:rsid w:val="00B54444"/>
    <w:pPr>
      <w:spacing w:before="40" w:after="0" w:line="240" w:lineRule="auto"/>
      <w:ind w:left="113" w:right="113"/>
    </w:pPr>
    <w:rPr>
      <w:rFonts w:ascii="Arial" w:hAnsi="Arial"/>
      <w:sz w:val="17"/>
    </w:rPr>
    <w:tblPr>
      <w:tblStyleRowBandSize w:val="1"/>
      <w:tblBorders>
        <w:top w:val="single" w:sz="4" w:space="0" w:color="E78A49"/>
        <w:left w:val="single" w:sz="4" w:space="0" w:color="E78A49"/>
        <w:bottom w:val="single" w:sz="4" w:space="0" w:color="E78A49"/>
        <w:right w:val="single" w:sz="4" w:space="0" w:color="E78A49"/>
        <w:insideH w:val="single" w:sz="4" w:space="0" w:color="E78A49"/>
        <w:insideV w:val="single" w:sz="4" w:space="0" w:color="E78A49"/>
      </w:tblBorders>
    </w:tblPr>
    <w:tcPr>
      <w:shd w:val="clear" w:color="auto" w:fill="auto"/>
    </w:tcPr>
    <w:tblStylePr w:type="firstRow">
      <w:rPr>
        <w:rFonts w:ascii="Arial" w:hAnsi="Arial"/>
        <w:b/>
        <w:caps/>
        <w:smallCaps w:val="0"/>
        <w:strike w:val="0"/>
        <w:dstrike w:val="0"/>
        <w:vanish w:val="0"/>
        <w:color w:val="auto"/>
        <w:sz w:val="18"/>
        <w:vertAlign w:val="baseline"/>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D8D2D0"/>
      </w:tcPr>
    </w:tblStylePr>
    <w:tblStylePr w:type="lastRow">
      <w:tblPr/>
      <w:tcPr>
        <w:tcBorders>
          <w:top w:val="nil"/>
          <w:left w:val="nil"/>
          <w:bottom w:val="nil"/>
          <w:right w:val="nil"/>
          <w:insideH w:val="nil"/>
          <w:insideV w:val="nil"/>
        </w:tcBorders>
      </w:tcPr>
    </w:tblStylePr>
    <w:tblStylePr w:type="firstCol">
      <w:rPr>
        <w:b w:val="0"/>
        <w:i w:val="0"/>
        <w:color w:val="auto"/>
      </w:rPr>
      <w:tblPr/>
      <w:tcPr>
        <w:tcBorders>
          <w:top w:val="single" w:sz="4" w:space="0" w:color="D8D2D0"/>
          <w:left w:val="single" w:sz="4" w:space="0" w:color="D8D2D0"/>
          <w:bottom w:val="single" w:sz="4" w:space="0" w:color="D8D2D0"/>
          <w:right w:val="single" w:sz="4" w:space="0" w:color="D8D2D0"/>
          <w:insideH w:val="single" w:sz="4" w:space="0" w:color="D8D2D0"/>
          <w:insideV w:val="single" w:sz="4" w:space="0" w:color="D8D2D0"/>
        </w:tcBorders>
        <w:shd w:val="clear" w:color="auto" w:fill="auto"/>
      </w:tcPr>
    </w:tblStylePr>
    <w:tblStylePr w:type="band1Horz">
      <w:tblPr/>
      <w:tcPr>
        <w:tcBorders>
          <w:top w:val="single" w:sz="4" w:space="0" w:color="D8D2D0"/>
          <w:left w:val="single" w:sz="4" w:space="0" w:color="D8D2D0"/>
          <w:bottom w:val="single" w:sz="4" w:space="0" w:color="D8D2D0"/>
          <w:right w:val="single" w:sz="4" w:space="0" w:color="D8D2D0"/>
          <w:insideH w:val="single" w:sz="4" w:space="0" w:color="D8D2D0"/>
          <w:insideV w:val="single" w:sz="4" w:space="0" w:color="D8D2D0"/>
        </w:tcBorders>
        <w:shd w:val="clear" w:color="auto" w:fill="FFFFFF" w:themeFill="background1"/>
      </w:tcPr>
    </w:tblStylePr>
    <w:tblStylePr w:type="band2Horz">
      <w:tblPr/>
      <w:tcPr>
        <w:tcBorders>
          <w:top w:val="single" w:sz="4" w:space="0" w:color="D8D2D0"/>
          <w:left w:val="single" w:sz="4" w:space="0" w:color="D8D2D0"/>
          <w:bottom w:val="single" w:sz="4" w:space="0" w:color="D8D2D0"/>
          <w:right w:val="single" w:sz="4" w:space="0" w:color="D8D2D0"/>
          <w:insideH w:val="single" w:sz="4" w:space="0" w:color="D8D2D0"/>
          <w:insideV w:val="single" w:sz="4" w:space="0" w:color="D8D2D0"/>
          <w:tl2br w:val="nil"/>
          <w:tr2bl w:val="nil"/>
        </w:tcBorders>
        <w:shd w:val="clear" w:color="auto" w:fill="auto"/>
      </w:tcPr>
    </w:tblStylePr>
  </w:style>
  <w:style w:type="table" w:customStyle="1" w:styleId="TableauRA">
    <w:name w:val="Tableau RA"/>
    <w:basedOn w:val="TableauNormal"/>
    <w:uiPriority w:val="99"/>
    <w:rsid w:val="00B54444"/>
    <w:pPr>
      <w:spacing w:after="0" w:line="240" w:lineRule="auto"/>
    </w:pPr>
    <w:rPr>
      <w:rFonts w:ascii="Marianne Light" w:eastAsiaTheme="minorEastAsia" w:hAnsi="Marianne Light"/>
      <w:sz w:val="18"/>
      <w:lang w:eastAsia="zh-CN"/>
    </w:rPr>
    <w:tblPr>
      <w:tblBorders>
        <w:insideH w:val="single" w:sz="4" w:space="0" w:color="215479"/>
        <w:insideV w:val="single" w:sz="4" w:space="0" w:color="215479"/>
      </w:tblBorders>
    </w:tblPr>
    <w:tcPr>
      <w:shd w:val="clear" w:color="auto" w:fill="auto"/>
    </w:tcPr>
    <w:tblStylePr w:type="firstRow">
      <w:pPr>
        <w:wordWrap/>
        <w:snapToGrid w:val="0"/>
        <w:spacing w:beforeLines="0" w:before="40" w:beforeAutospacing="0" w:afterLines="0" w:after="40" w:afterAutospacing="0" w:line="240" w:lineRule="auto"/>
        <w:ind w:leftChars="0" w:left="57" w:rightChars="0" w:right="57"/>
        <w:contextualSpacing/>
        <w:jc w:val="left"/>
        <w:outlineLvl w:val="4"/>
      </w:pPr>
      <w:rPr>
        <w:rFonts w:ascii="Marianne" w:hAnsi="Marianne"/>
        <w:b/>
        <w:i w:val="0"/>
        <w:color w:val="FFFFFF" w:themeColor="background1"/>
        <w:sz w:val="20"/>
      </w:rPr>
      <w:tblPr/>
      <w:tcPr>
        <w:shd w:val="clear" w:color="auto" w:fill="597F9B"/>
      </w:tcPr>
    </w:tblStylePr>
  </w:style>
  <w:style w:type="paragraph" w:styleId="Textedebulles">
    <w:name w:val="Balloon Text"/>
    <w:basedOn w:val="Normal"/>
    <w:link w:val="TextedebullesCar"/>
    <w:uiPriority w:val="99"/>
    <w:semiHidden/>
    <w:unhideWhenUsed/>
    <w:rsid w:val="00B544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54444"/>
    <w:rPr>
      <w:rFonts w:ascii="Tahoma" w:hAnsi="Tahoma" w:cs="Tahoma"/>
      <w:sz w:val="16"/>
      <w:szCs w:val="16"/>
    </w:rPr>
  </w:style>
  <w:style w:type="character" w:styleId="Textedelespacerserv">
    <w:name w:val="Placeholder Text"/>
    <w:basedOn w:val="Policepardfaut"/>
    <w:uiPriority w:val="99"/>
    <w:semiHidden/>
    <w:rsid w:val="00B54444"/>
    <w:rPr>
      <w:color w:val="808080"/>
    </w:rPr>
  </w:style>
  <w:style w:type="paragraph" w:customStyle="1" w:styleId="Titretableau">
    <w:name w:val="Titre tableau"/>
    <w:basedOn w:val="Normal"/>
    <w:uiPriority w:val="1"/>
    <w:qFormat/>
    <w:rsid w:val="00B54444"/>
    <w:pPr>
      <w:widowControl w:val="0"/>
      <w:shd w:val="clear" w:color="auto" w:fill="597F9B"/>
      <w:autoSpaceDE w:val="0"/>
      <w:autoSpaceDN w:val="0"/>
      <w:snapToGrid w:val="0"/>
      <w:spacing w:before="40" w:after="40" w:line="240" w:lineRule="auto"/>
      <w:ind w:left="57" w:right="57"/>
      <w:contextualSpacing/>
      <w:outlineLvl w:val="4"/>
    </w:pPr>
    <w:rPr>
      <w:rFonts w:ascii="Marianne" w:hAnsi="Marianne"/>
      <w:b/>
      <w:color w:val="FFFFFF"/>
      <w:spacing w:val="-2"/>
    </w:rPr>
  </w:style>
  <w:style w:type="paragraph" w:styleId="Titre">
    <w:name w:val="Title"/>
    <w:aliases w:val="Titre fiche"/>
    <w:basedOn w:val="Normal"/>
    <w:next w:val="Normal"/>
    <w:link w:val="TitreCar"/>
    <w:uiPriority w:val="7"/>
    <w:rsid w:val="00B54444"/>
    <w:pPr>
      <w:spacing w:before="240" w:after="240" w:line="260" w:lineRule="atLeast"/>
    </w:pPr>
    <w:rPr>
      <w:b/>
      <w:bCs/>
      <w:sz w:val="56"/>
      <w:szCs w:val="56"/>
    </w:rPr>
  </w:style>
  <w:style w:type="character" w:customStyle="1" w:styleId="TitreCar">
    <w:name w:val="Titre Car"/>
    <w:aliases w:val="Titre fiche Car"/>
    <w:basedOn w:val="Policepardfaut"/>
    <w:link w:val="Titre"/>
    <w:uiPriority w:val="7"/>
    <w:rsid w:val="00B54444"/>
    <w:rPr>
      <w:rFonts w:ascii="Marianne Light" w:hAnsi="Marianne Light"/>
      <w:b/>
      <w:bCs/>
      <w:sz w:val="56"/>
      <w:szCs w:val="56"/>
    </w:rPr>
  </w:style>
  <w:style w:type="paragraph" w:styleId="TM1">
    <w:name w:val="toc 1"/>
    <w:basedOn w:val="Normal"/>
    <w:next w:val="Normal"/>
    <w:autoRedefine/>
    <w:uiPriority w:val="39"/>
    <w:unhideWhenUsed/>
    <w:rsid w:val="00B54444"/>
    <w:pPr>
      <w:tabs>
        <w:tab w:val="right" w:pos="8222"/>
      </w:tabs>
      <w:spacing w:after="240" w:line="260" w:lineRule="atLeast"/>
    </w:pPr>
    <w:rPr>
      <w:rFonts w:ascii="Marianne" w:hAnsi="Marianne"/>
      <w:b/>
      <w:bCs/>
      <w:color w:val="215479"/>
      <w:szCs w:val="32"/>
    </w:rPr>
  </w:style>
  <w:style w:type="paragraph" w:styleId="TM3">
    <w:name w:val="toc 3"/>
    <w:basedOn w:val="Normal"/>
    <w:next w:val="Normal"/>
    <w:autoRedefine/>
    <w:uiPriority w:val="39"/>
    <w:unhideWhenUsed/>
    <w:rsid w:val="00B54444"/>
    <w:pPr>
      <w:tabs>
        <w:tab w:val="right" w:leader="dot" w:pos="8222"/>
      </w:tabs>
      <w:spacing w:after="240" w:line="260" w:lineRule="atLeast"/>
      <w:ind w:left="993"/>
    </w:pPr>
    <w:rPr>
      <w:sz w:val="18"/>
      <w:szCs w:val="21"/>
    </w:rPr>
  </w:style>
  <w:style w:type="paragraph" w:styleId="TM2">
    <w:name w:val="toc 2"/>
    <w:basedOn w:val="TM3"/>
    <w:next w:val="Normal"/>
    <w:autoRedefine/>
    <w:uiPriority w:val="39"/>
    <w:unhideWhenUsed/>
    <w:rsid w:val="00B54444"/>
    <w:pPr>
      <w:numPr>
        <w:numId w:val="3"/>
      </w:numPr>
      <w:tabs>
        <w:tab w:val="right" w:pos="8222"/>
      </w:tabs>
    </w:pPr>
  </w:style>
  <w:style w:type="paragraph" w:customStyle="1" w:styleId="Contenutableau">
    <w:name w:val="Contenu tableau"/>
    <w:basedOn w:val="Normal"/>
    <w:qFormat/>
    <w:rsid w:val="00B54444"/>
    <w:pPr>
      <w:widowControl w:val="0"/>
      <w:suppressAutoHyphens/>
      <w:spacing w:before="40" w:after="40" w:line="240" w:lineRule="auto"/>
    </w:pPr>
    <w:rPr>
      <w:rFonts w:ascii="Marianne" w:eastAsia="Calibri" w:hAnsi="Marianne" w:cstheme="minorHAnsi"/>
      <w:sz w:val="18"/>
      <w:szCs w:val="18"/>
      <w:lang w:eastAsia="fr-FR"/>
    </w:rPr>
  </w:style>
  <w:style w:type="paragraph" w:styleId="Rvision">
    <w:name w:val="Revision"/>
    <w:hidden/>
    <w:uiPriority w:val="99"/>
    <w:semiHidden/>
    <w:rsid w:val="00B54444"/>
    <w:pPr>
      <w:spacing w:after="0" w:line="240" w:lineRule="auto"/>
    </w:pPr>
    <w:rPr>
      <w:rFonts w:ascii="Marianne Light" w:hAnsi="Marianne Light"/>
      <w:sz w:val="20"/>
    </w:rPr>
  </w:style>
  <w:style w:type="paragraph" w:customStyle="1" w:styleId="name-article">
    <w:name w:val="name-article"/>
    <w:basedOn w:val="Normal"/>
    <w:rsid w:val="00B54444"/>
    <w:pPr>
      <w:spacing w:before="100" w:beforeAutospacing="1" w:after="100" w:afterAutospacing="1" w:line="240" w:lineRule="auto"/>
    </w:pPr>
    <w:rPr>
      <w:rFonts w:ascii="Times New Roman" w:eastAsia="Times New Roman" w:hAnsi="Times New Roman" w:cs="Times New Roman"/>
      <w:lang w:eastAsia="fr-FR"/>
    </w:rPr>
  </w:style>
  <w:style w:type="paragraph" w:customStyle="1" w:styleId="Pucestableau">
    <w:name w:val="Puces tableau"/>
    <w:basedOn w:val="Normal"/>
    <w:qFormat/>
    <w:rsid w:val="00B54444"/>
    <w:pPr>
      <w:widowControl w:val="0"/>
      <w:numPr>
        <w:numId w:val="4"/>
      </w:numPr>
      <w:suppressAutoHyphens/>
      <w:spacing w:before="40" w:after="40" w:line="240" w:lineRule="auto"/>
      <w:ind w:left="170" w:hanging="170"/>
      <w:contextualSpacing/>
    </w:pPr>
    <w:rPr>
      <w:rFonts w:ascii="Marianne" w:hAnsi="Marianne" w:cstheme="minorHAnsi"/>
      <w:sz w:val="17"/>
      <w:szCs w:val="18"/>
      <w:lang w:eastAsia="fr-FR"/>
    </w:rPr>
  </w:style>
  <w:style w:type="paragraph" w:customStyle="1" w:styleId="Standard">
    <w:name w:val="Standard"/>
    <w:rsid w:val="00B54444"/>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customStyle="1" w:styleId="StandardWW">
    <w:name w:val="Standard (WW)"/>
    <w:rsid w:val="00B54444"/>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customStyle="1" w:styleId="Footnote">
    <w:name w:val="Footnote"/>
    <w:basedOn w:val="Standard"/>
    <w:rsid w:val="00B54444"/>
    <w:pPr>
      <w:suppressLineNumbers/>
      <w:ind w:left="340" w:hanging="340"/>
    </w:pPr>
    <w:rPr>
      <w:sz w:val="20"/>
      <w:szCs w:val="20"/>
    </w:rPr>
  </w:style>
  <w:style w:type="character" w:customStyle="1" w:styleId="StrongEmphasisWW">
    <w:name w:val="Strong Emphasis (WW)"/>
    <w:rsid w:val="00B54444"/>
    <w:rPr>
      <w:b/>
      <w:bCs/>
    </w:rPr>
  </w:style>
  <w:style w:type="character" w:customStyle="1" w:styleId="Mentionnonrsolue2">
    <w:name w:val="Mention non résolue2"/>
    <w:basedOn w:val="Policepardfaut"/>
    <w:uiPriority w:val="99"/>
    <w:semiHidden/>
    <w:unhideWhenUsed/>
    <w:rsid w:val="00B54444"/>
    <w:rPr>
      <w:color w:val="605E5C"/>
      <w:shd w:val="clear" w:color="auto" w:fill="E1DFDD"/>
    </w:rPr>
  </w:style>
  <w:style w:type="character" w:customStyle="1" w:styleId="Mentionnonrsolue3">
    <w:name w:val="Mention non résolue3"/>
    <w:basedOn w:val="Policepardfaut"/>
    <w:uiPriority w:val="99"/>
    <w:semiHidden/>
    <w:unhideWhenUsed/>
    <w:rsid w:val="00B54444"/>
    <w:rPr>
      <w:color w:val="605E5C"/>
      <w:shd w:val="clear" w:color="auto" w:fill="E1DFDD"/>
    </w:rPr>
  </w:style>
  <w:style w:type="character" w:customStyle="1" w:styleId="Mentionnonrsolue4">
    <w:name w:val="Mention non résolue4"/>
    <w:basedOn w:val="Policepardfaut"/>
    <w:uiPriority w:val="99"/>
    <w:semiHidden/>
    <w:unhideWhenUsed/>
    <w:rsid w:val="00B54444"/>
    <w:rPr>
      <w:color w:val="605E5C"/>
      <w:shd w:val="clear" w:color="auto" w:fill="E1DFDD"/>
    </w:rPr>
  </w:style>
  <w:style w:type="paragraph" w:styleId="Sansinterligne">
    <w:name w:val="No Spacing"/>
    <w:uiPriority w:val="1"/>
    <w:qFormat/>
    <w:rsid w:val="00B54444"/>
    <w:pPr>
      <w:spacing w:after="0" w:line="240" w:lineRule="auto"/>
    </w:pPr>
    <w:rPr>
      <w:rFonts w:ascii="Marianne Light" w:hAnsi="Marianne Light"/>
      <w:sz w:val="20"/>
    </w:rPr>
  </w:style>
  <w:style w:type="character" w:styleId="lev">
    <w:name w:val="Strong"/>
    <w:basedOn w:val="Policepardfaut"/>
    <w:uiPriority w:val="22"/>
    <w:qFormat/>
    <w:rsid w:val="00B54444"/>
    <w:rPr>
      <w:b/>
      <w:bCs/>
    </w:rPr>
  </w:style>
  <w:style w:type="character" w:customStyle="1" w:styleId="familyname">
    <w:name w:val="familyname"/>
    <w:basedOn w:val="Policepardfaut"/>
    <w:rsid w:val="00B54444"/>
  </w:style>
  <w:style w:type="character" w:styleId="Accentuation">
    <w:name w:val="Emphasis"/>
    <w:basedOn w:val="Policepardfaut"/>
    <w:uiPriority w:val="20"/>
    <w:qFormat/>
    <w:rsid w:val="00B54444"/>
    <w:rPr>
      <w:i/>
      <w:iCs/>
    </w:rPr>
  </w:style>
  <w:style w:type="character" w:customStyle="1" w:styleId="mx-1">
    <w:name w:val="mx-1"/>
    <w:basedOn w:val="Policepardfaut"/>
    <w:rsid w:val="00B54444"/>
  </w:style>
  <w:style w:type="character" w:customStyle="1" w:styleId="Mentionnonrsolue5">
    <w:name w:val="Mention non résolue5"/>
    <w:basedOn w:val="Policepardfaut"/>
    <w:uiPriority w:val="99"/>
    <w:semiHidden/>
    <w:unhideWhenUsed/>
    <w:rsid w:val="00B54444"/>
    <w:rPr>
      <w:color w:val="605E5C"/>
      <w:shd w:val="clear" w:color="auto" w:fill="E1DFDD"/>
    </w:rPr>
  </w:style>
  <w:style w:type="character" w:styleId="Mentionnonrsolue">
    <w:name w:val="Unresolved Mention"/>
    <w:basedOn w:val="Policepardfaut"/>
    <w:uiPriority w:val="99"/>
    <w:semiHidden/>
    <w:unhideWhenUsed/>
    <w:rsid w:val="00B54444"/>
    <w:rPr>
      <w:color w:val="605E5C"/>
      <w:shd w:val="clear" w:color="auto" w:fill="E1DFDD"/>
    </w:rPr>
  </w:style>
  <w:style w:type="paragraph" w:customStyle="1" w:styleId="Titredecollection">
    <w:name w:val="Titre de collection"/>
    <w:basedOn w:val="Normal"/>
    <w:qFormat/>
    <w:rsid w:val="00B54444"/>
    <w:pPr>
      <w:suppressAutoHyphens/>
    </w:pPr>
    <w:rPr>
      <w:sz w:val="48"/>
      <w:szCs w:val="48"/>
    </w:rPr>
  </w:style>
  <w:style w:type="paragraph" w:customStyle="1" w:styleId="Titredudocument">
    <w:name w:val="Titre du document"/>
    <w:basedOn w:val="Normal"/>
    <w:qFormat/>
    <w:rsid w:val="00B54444"/>
    <w:pPr>
      <w:suppressAutoHyphens/>
    </w:pPr>
    <w:rPr>
      <w:rFonts w:ascii="Marianne Medium" w:hAnsi="Marianne Medium"/>
      <w:sz w:val="56"/>
      <w:szCs w:val="56"/>
    </w:rPr>
  </w:style>
  <w:style w:type="table" w:customStyle="1" w:styleId="TableauEn-tte">
    <w:name w:val="Tableau En-tête"/>
    <w:basedOn w:val="TableauNormal"/>
    <w:uiPriority w:val="99"/>
    <w:rsid w:val="00B54444"/>
    <w:pPr>
      <w:spacing w:before="100" w:beforeAutospacing="1" w:after="100" w:afterAutospacing="1" w:line="240" w:lineRule="auto"/>
    </w:pPr>
    <w:rPr>
      <w:rFonts w:ascii="Calibri" w:eastAsia="Calibri" w:hAnsi="Calibri" w:cs="Times New Roman"/>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val="0"/>
      </w:rPr>
      <w:tblPr/>
      <w:tcPr>
        <w:shd w:val="clear" w:color="auto" w:fill="E5DFEC"/>
      </w:tcPr>
    </w:tblStylePr>
  </w:style>
  <w:style w:type="paragraph" w:customStyle="1" w:styleId="Encadr">
    <w:name w:val="Encadré"/>
    <w:basedOn w:val="Normal"/>
    <w:qFormat/>
    <w:rsid w:val="00B54444"/>
    <w:pPr>
      <w:pBdr>
        <w:top w:val="dotted" w:sz="4" w:space="1" w:color="auto"/>
        <w:left w:val="dotted" w:sz="4" w:space="4" w:color="auto"/>
        <w:bottom w:val="dotted" w:sz="4" w:space="1" w:color="auto"/>
        <w:right w:val="dotted" w:sz="4" w:space="4" w:color="auto"/>
      </w:pBdr>
      <w:spacing w:before="240"/>
      <w:ind w:left="284" w:right="284"/>
    </w:pPr>
  </w:style>
  <w:style w:type="table" w:styleId="Ombrageclair">
    <w:name w:val="Light Shading"/>
    <w:basedOn w:val="TableauNormal"/>
    <w:uiPriority w:val="60"/>
    <w:rsid w:val="00B54444"/>
    <w:pPr>
      <w:spacing w:after="0" w:line="240" w:lineRule="auto"/>
    </w:pPr>
    <w:rPr>
      <w:rFonts w:ascii="Calibri" w:eastAsia="Calibri" w:hAnsi="Calibri" w:cs="Times New Roman"/>
      <w:color w:val="000000"/>
      <w:sz w:val="20"/>
      <w:szCs w:val="20"/>
      <w:lang w:eastAsia="fr-F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aucrois">
    <w:name w:val="Tableau croisé"/>
    <w:basedOn w:val="TableauNormal"/>
    <w:uiPriority w:val="99"/>
    <w:rsid w:val="00B54444"/>
    <w:pPr>
      <w:spacing w:before="120" w:after="120" w:line="240" w:lineRule="auto"/>
    </w:pPr>
    <w:rPr>
      <w:rFonts w:ascii="Calibri" w:eastAsia="Calibri" w:hAnsi="Calibri" w:cs="Times New Roman"/>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00" w:beforeAutospacing="1" w:afterLines="0" w:after="100" w:afterAutospacing="1"/>
      </w:pPr>
      <w:rPr>
        <w:rFonts w:ascii="Calibri" w:hAnsi="Calibri"/>
        <w:b w:val="0"/>
        <w:sz w:val="22"/>
      </w:rPr>
      <w:tblPr/>
      <w:trPr>
        <w:tblHeader/>
      </w:trPr>
      <w:tcPr>
        <w:shd w:val="clear" w:color="auto" w:fill="E5DFEC"/>
      </w:tcPr>
    </w:tblStylePr>
    <w:tblStylePr w:type="firstCol">
      <w:rPr>
        <w:rFonts w:ascii="Calibri" w:hAnsi="Calibri"/>
        <w:b w:val="0"/>
        <w:sz w:val="22"/>
      </w:rPr>
      <w:tblPr/>
      <w:tcPr>
        <w:shd w:val="clear" w:color="auto" w:fill="E5DFEC"/>
      </w:tcPr>
    </w:tblStylePr>
    <w:tblStylePr w:type="nwCell">
      <w:tblPr/>
      <w:tcPr>
        <w:shd w:val="clear" w:color="auto" w:fill="E5DFEC"/>
      </w:tcPr>
    </w:tblStylePr>
  </w:style>
  <w:style w:type="paragraph" w:customStyle="1" w:styleId="Encartgras">
    <w:name w:val="Encart gras"/>
    <w:basedOn w:val="Normal"/>
    <w:qFormat/>
    <w:rsid w:val="00B54444"/>
    <w:pPr>
      <w:pBdr>
        <w:left w:val="single" w:sz="24" w:space="4" w:color="465F9D"/>
      </w:pBdr>
    </w:pPr>
    <w:rPr>
      <w:b/>
    </w:rPr>
  </w:style>
  <w:style w:type="paragraph" w:customStyle="1" w:styleId="Encartsimple">
    <w:name w:val="Encart simple"/>
    <w:basedOn w:val="Encartgras"/>
    <w:qFormat/>
    <w:rsid w:val="00B54444"/>
    <w:rPr>
      <w:b w:val="0"/>
      <w:lang w:val="la-Latn"/>
    </w:rPr>
  </w:style>
  <w:style w:type="paragraph" w:customStyle="1" w:styleId="Enttedecolonnetableau">
    <w:name w:val="Ent^te de colonne tableau"/>
    <w:basedOn w:val="Normal"/>
    <w:qFormat/>
    <w:rsid w:val="00B54444"/>
    <w:rPr>
      <w:b/>
      <w:color w:val="465F9D"/>
    </w:rPr>
  </w:style>
  <w:style w:type="paragraph" w:customStyle="1" w:styleId="Enttelignetableau">
    <w:name w:val="Entête ligne tableau"/>
    <w:basedOn w:val="Normal"/>
    <w:qFormat/>
    <w:rsid w:val="00B54444"/>
    <w:rPr>
      <w:b/>
      <w:color w:val="465F9D"/>
    </w:rPr>
  </w:style>
  <w:style w:type="paragraph" w:customStyle="1" w:styleId="Encadrfond">
    <w:name w:val="Encadré fond"/>
    <w:basedOn w:val="Normal"/>
    <w:qFormat/>
    <w:rsid w:val="00B54444"/>
    <w:pPr>
      <w:shd w:val="clear" w:color="auto" w:fill="DDD9F7"/>
    </w:pPr>
  </w:style>
  <w:style w:type="paragraph" w:customStyle="1" w:styleId="Default">
    <w:name w:val="Default"/>
    <w:rsid w:val="00B54444"/>
    <w:pPr>
      <w:autoSpaceDE w:val="0"/>
      <w:autoSpaceDN w:val="0"/>
      <w:adjustRightInd w:val="0"/>
      <w:spacing w:after="0" w:line="240" w:lineRule="auto"/>
    </w:pPr>
    <w:rPr>
      <w:rFonts w:ascii="Georgia" w:hAnsi="Georgia" w:cs="Georgia"/>
      <w:color w:val="000000"/>
      <w:sz w:val="24"/>
      <w:szCs w:val="24"/>
    </w:rPr>
  </w:style>
  <w:style w:type="character" w:customStyle="1" w:styleId="lang-grc">
    <w:name w:val="lang-grc"/>
    <w:basedOn w:val="Policepardfaut"/>
    <w:rsid w:val="00B54444"/>
  </w:style>
  <w:style w:type="paragraph" w:customStyle="1" w:styleId="Entte2">
    <w:name w:val="Entête 2"/>
    <w:basedOn w:val="Normal"/>
    <w:qFormat/>
    <w:rsid w:val="00B54444"/>
    <w:pPr>
      <w:tabs>
        <w:tab w:val="center" w:pos="4536"/>
        <w:tab w:val="right" w:pos="9072"/>
      </w:tabs>
      <w:spacing w:before="50" w:after="0" w:line="240" w:lineRule="auto"/>
      <w:ind w:left="1843"/>
    </w:pPr>
    <w:rPr>
      <w:rFonts w:ascii="DINPro-Bold" w:hAnsi="DINPro-Bold"/>
      <w:color w:val="FFFFFF" w:themeColor="background1"/>
      <w:sz w:val="16"/>
    </w:rPr>
  </w:style>
  <w:style w:type="table" w:styleId="Tramemoyenne1-Accent4">
    <w:name w:val="Medium Shading 1 Accent 4"/>
    <w:basedOn w:val="TableauNormal"/>
    <w:uiPriority w:val="63"/>
    <w:rsid w:val="00B5444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PieddePageEntteTtirePieddepage">
    <w:name w:val="Pied de Page (Entête / Têtière / Pied de page)"/>
    <w:basedOn w:val="Normal"/>
    <w:uiPriority w:val="99"/>
    <w:rsid w:val="00B54444"/>
    <w:pPr>
      <w:spacing w:before="120" w:after="227"/>
    </w:pPr>
    <w:rPr>
      <w:rFonts w:ascii="VAG Rounded Bold" w:hAnsi="VAG Rounded Bold" w:cs="VAG Rounded Bold"/>
      <w:b/>
      <w:bCs/>
      <w:color w:val="000000"/>
      <w:szCs w:val="20"/>
    </w:rPr>
  </w:style>
  <w:style w:type="character" w:customStyle="1" w:styleId="PieddepageMENEntteTtirePieddepage">
    <w:name w:val="Pied de page MEN (Entête / Têtière / Pied de page)"/>
    <w:uiPriority w:val="99"/>
    <w:rsid w:val="00B54444"/>
    <w:rPr>
      <w:rFonts w:ascii="Marianne" w:hAnsi="Marianne" w:cs="Marianne"/>
      <w:sz w:val="14"/>
      <w:szCs w:val="14"/>
    </w:rPr>
  </w:style>
  <w:style w:type="paragraph" w:customStyle="1" w:styleId="C0Encadrcontexte">
    <w:name w:val="C0 Encadré contexte"/>
    <w:basedOn w:val="Normal"/>
    <w:qFormat/>
    <w:rsid w:val="00B54444"/>
    <w:pPr>
      <w:pBdr>
        <w:top w:val="single" w:sz="48" w:space="14" w:color="FFFFFF" w:themeColor="background1"/>
        <w:left w:val="single" w:sz="36" w:space="11" w:color="39368F"/>
        <w:bottom w:val="single" w:sz="48" w:space="14" w:color="FFFFFF" w:themeColor="background1"/>
        <w:right w:val="single" w:sz="48" w:space="0" w:color="FFFFFF" w:themeColor="background1"/>
      </w:pBdr>
      <w:shd w:val="solid" w:color="EBEBF4" w:fill="auto"/>
      <w:spacing w:before="120" w:after="120" w:line="240" w:lineRule="auto"/>
      <w:ind w:left="340"/>
      <w:contextualSpacing/>
    </w:pPr>
    <w:rPr>
      <w:rFonts w:ascii="Marianne" w:hAnsi="Marianne"/>
    </w:rPr>
  </w:style>
  <w:style w:type="paragraph" w:customStyle="1" w:styleId="C3Encadrcontexte">
    <w:name w:val="C3 Encadré contexte"/>
    <w:basedOn w:val="Normal"/>
    <w:qFormat/>
    <w:rsid w:val="00B54444"/>
    <w:pPr>
      <w:pBdr>
        <w:top w:val="single" w:sz="48" w:space="14" w:color="FFFFFF" w:themeColor="background1"/>
        <w:left w:val="single" w:sz="36" w:space="11" w:color="33AE90"/>
        <w:bottom w:val="single" w:sz="48" w:space="14" w:color="FFFFFF" w:themeColor="background1"/>
        <w:right w:val="single" w:sz="48" w:space="0" w:color="FFFFFF" w:themeColor="background1"/>
      </w:pBdr>
      <w:shd w:val="solid" w:color="EAF7F4" w:fill="auto"/>
      <w:spacing w:before="120" w:after="120" w:line="240" w:lineRule="auto"/>
      <w:ind w:left="340"/>
      <w:contextualSpacing/>
    </w:pPr>
    <w:rPr>
      <w:rFonts w:ascii="Marianne" w:hAnsi="Marianne"/>
    </w:rPr>
  </w:style>
  <w:style w:type="character" w:styleId="Titredulivre">
    <w:name w:val="Book Title"/>
    <w:basedOn w:val="Policepardfaut"/>
    <w:uiPriority w:val="33"/>
    <w:qFormat/>
    <w:rsid w:val="00B54444"/>
    <w:rPr>
      <w:b/>
      <w:bCs/>
      <w:i/>
      <w:iCs/>
      <w:spacing w:val="5"/>
    </w:rPr>
  </w:style>
  <w:style w:type="paragraph" w:customStyle="1" w:styleId="Tiretstableau">
    <w:name w:val="Tirets tableau"/>
    <w:basedOn w:val="Paragraphedeliste"/>
    <w:qFormat/>
    <w:rsid w:val="00B54444"/>
    <w:pPr>
      <w:numPr>
        <w:numId w:val="7"/>
      </w:numPr>
      <w:tabs>
        <w:tab w:val="num" w:pos="360"/>
      </w:tabs>
      <w:suppressAutoHyphens/>
      <w:spacing w:before="40" w:after="40" w:line="240" w:lineRule="auto"/>
      <w:ind w:left="170" w:hanging="170"/>
    </w:pPr>
    <w:rPr>
      <w:rFonts w:ascii="Marianne" w:eastAsia="Times" w:hAnsi="Marianne" w:cs="Times"/>
      <w:sz w:val="17"/>
      <w:szCs w:val="18"/>
      <w:lang w:eastAsia="fr-FR"/>
    </w:rPr>
  </w:style>
  <w:style w:type="paragraph" w:customStyle="1" w:styleId="Enteteage">
    <w:name w:val="Entete age"/>
    <w:basedOn w:val="Encadrfond"/>
    <w:qFormat/>
    <w:rsid w:val="00B54444"/>
    <w:pPr>
      <w:shd w:val="clear" w:color="auto" w:fill="E0DDEE"/>
      <w:spacing w:after="0"/>
      <w:jc w:val="right"/>
    </w:pPr>
    <w:rPr>
      <w:rFonts w:ascii="Marianne Medium" w:hAnsi="Marianne Medium"/>
      <w:sz w:val="36"/>
      <w:shd w:val="clear" w:color="auto" w:fill="FFFFFF" w:themeFill="background1"/>
    </w:rPr>
  </w:style>
  <w:style w:type="paragraph" w:customStyle="1" w:styleId="ENCADRETITRE">
    <w:name w:val="ENCADRE TITRE"/>
    <w:basedOn w:val="Encadrfond"/>
    <w:qFormat/>
    <w:rsid w:val="00B54444"/>
    <w:rPr>
      <w:b/>
      <w:sz w:val="22"/>
    </w:rPr>
  </w:style>
  <w:style w:type="table" w:customStyle="1" w:styleId="Style1">
    <w:name w:val="Style1"/>
    <w:basedOn w:val="TableauNormal"/>
    <w:uiPriority w:val="99"/>
    <w:rsid w:val="00B54444"/>
    <w:pPr>
      <w:spacing w:after="0" w:line="240" w:lineRule="auto"/>
    </w:pPr>
    <w:rPr>
      <w:rFonts w:ascii="Marianne Light" w:eastAsia="Calibri" w:hAnsi="Marianne Light" w:cs="Times New Roman"/>
      <w:sz w:val="20"/>
      <w:szCs w:val="20"/>
      <w:lang w:eastAsia="fr-FR"/>
    </w:rPr>
    <w:tblPr>
      <w:tblBorders>
        <w:top w:val="single" w:sz="4" w:space="0" w:color="2D1F90"/>
        <w:left w:val="single" w:sz="4" w:space="0" w:color="2D1F90"/>
        <w:bottom w:val="single" w:sz="4" w:space="0" w:color="2D1F90"/>
        <w:right w:val="single" w:sz="4" w:space="0" w:color="2D1F90"/>
        <w:insideH w:val="single" w:sz="4" w:space="0" w:color="2D1F90"/>
        <w:insideV w:val="single" w:sz="4" w:space="0" w:color="2D1F90"/>
      </w:tblBorders>
    </w:tblPr>
    <w:tblStylePr w:type="firstRow">
      <w:rPr>
        <w:rFonts w:ascii="Marianne Light" w:hAnsi="Marianne Light"/>
        <w:b/>
        <w:color w:val="2D1F90"/>
        <w:sz w:val="20"/>
      </w:rPr>
      <w:tblPr/>
      <w:tcPr>
        <w:shd w:val="clear" w:color="auto" w:fill="FFE552"/>
      </w:tcPr>
    </w:tblStylePr>
  </w:style>
  <w:style w:type="table" w:customStyle="1" w:styleId="Style2">
    <w:name w:val="Style2"/>
    <w:basedOn w:val="TableauNormal"/>
    <w:uiPriority w:val="99"/>
    <w:rsid w:val="00B54444"/>
    <w:pPr>
      <w:spacing w:after="0" w:line="240" w:lineRule="auto"/>
    </w:pPr>
    <w:rPr>
      <w:rFonts w:ascii="Marianne Light" w:eastAsia="Calibri" w:hAnsi="Marianne Light" w:cs="Times New Roman"/>
      <w:sz w:val="20"/>
      <w:szCs w:val="20"/>
      <w:lang w:eastAsia="fr-FR"/>
    </w:rPr>
    <w:tblPr>
      <w:tblBorders>
        <w:top w:val="single" w:sz="4" w:space="0" w:color="2D1F90"/>
        <w:left w:val="single" w:sz="4" w:space="0" w:color="2D1F90"/>
        <w:bottom w:val="single" w:sz="4" w:space="0" w:color="2D1F90"/>
        <w:right w:val="single" w:sz="4" w:space="0" w:color="2D1F90"/>
        <w:insideH w:val="single" w:sz="4" w:space="0" w:color="2D1F90"/>
        <w:insideV w:val="single" w:sz="4" w:space="0" w:color="2D1F90"/>
      </w:tblBorders>
    </w:tblPr>
    <w:tblStylePr w:type="firstRow">
      <w:rPr>
        <w:rFonts w:ascii="Marianne Light" w:hAnsi="Marianne Light"/>
        <w:b/>
        <w:color w:val="2D1F90"/>
        <w:sz w:val="20"/>
      </w:rPr>
      <w:tblPr/>
      <w:tcPr>
        <w:shd w:val="clear" w:color="auto" w:fill="FFE552"/>
      </w:tcPr>
    </w:tblStylePr>
    <w:tblStylePr w:type="firstCol">
      <w:rPr>
        <w:rFonts w:ascii="Marianne Light" w:hAnsi="Marianne Light"/>
        <w:color w:val="2D1F90"/>
        <w:sz w:val="20"/>
      </w:rPr>
      <w:tblPr/>
      <w:tcPr>
        <w:shd w:val="clear" w:color="auto" w:fill="FFE55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086934">
      <w:bodyDiv w:val="1"/>
      <w:marLeft w:val="0"/>
      <w:marRight w:val="0"/>
      <w:marTop w:val="0"/>
      <w:marBottom w:val="0"/>
      <w:divBdr>
        <w:top w:val="none" w:sz="0" w:space="0" w:color="auto"/>
        <w:left w:val="none" w:sz="0" w:space="0" w:color="auto"/>
        <w:bottom w:val="none" w:sz="0" w:space="0" w:color="auto"/>
        <w:right w:val="none" w:sz="0" w:space="0" w:color="auto"/>
      </w:divBdr>
    </w:div>
    <w:div w:id="531841907">
      <w:bodyDiv w:val="1"/>
      <w:marLeft w:val="0"/>
      <w:marRight w:val="0"/>
      <w:marTop w:val="0"/>
      <w:marBottom w:val="0"/>
      <w:divBdr>
        <w:top w:val="none" w:sz="0" w:space="0" w:color="auto"/>
        <w:left w:val="none" w:sz="0" w:space="0" w:color="auto"/>
        <w:bottom w:val="none" w:sz="0" w:space="0" w:color="auto"/>
        <w:right w:val="none" w:sz="0" w:space="0" w:color="auto"/>
      </w:divBdr>
      <w:divsChild>
        <w:div w:id="490485007">
          <w:marLeft w:val="0"/>
          <w:marRight w:val="0"/>
          <w:marTop w:val="0"/>
          <w:marBottom w:val="0"/>
          <w:divBdr>
            <w:top w:val="none" w:sz="0" w:space="0" w:color="auto"/>
            <w:left w:val="none" w:sz="0" w:space="0" w:color="auto"/>
            <w:bottom w:val="none" w:sz="0" w:space="0" w:color="auto"/>
            <w:right w:val="none" w:sz="0" w:space="0" w:color="auto"/>
          </w:divBdr>
        </w:div>
      </w:divsChild>
    </w:div>
    <w:div w:id="783157905">
      <w:bodyDiv w:val="1"/>
      <w:marLeft w:val="0"/>
      <w:marRight w:val="0"/>
      <w:marTop w:val="0"/>
      <w:marBottom w:val="0"/>
      <w:divBdr>
        <w:top w:val="none" w:sz="0" w:space="0" w:color="auto"/>
        <w:left w:val="none" w:sz="0" w:space="0" w:color="auto"/>
        <w:bottom w:val="none" w:sz="0" w:space="0" w:color="auto"/>
        <w:right w:val="none" w:sz="0" w:space="0" w:color="auto"/>
      </w:divBdr>
      <w:divsChild>
        <w:div w:id="1391997086">
          <w:marLeft w:val="0"/>
          <w:marRight w:val="0"/>
          <w:marTop w:val="0"/>
          <w:marBottom w:val="0"/>
          <w:divBdr>
            <w:top w:val="none" w:sz="0" w:space="0" w:color="auto"/>
            <w:left w:val="none" w:sz="0" w:space="0" w:color="auto"/>
            <w:bottom w:val="none" w:sz="0" w:space="0" w:color="auto"/>
            <w:right w:val="none" w:sz="0" w:space="0" w:color="auto"/>
          </w:divBdr>
        </w:div>
      </w:divsChild>
    </w:div>
    <w:div w:id="869104887">
      <w:bodyDiv w:val="1"/>
      <w:marLeft w:val="0"/>
      <w:marRight w:val="0"/>
      <w:marTop w:val="0"/>
      <w:marBottom w:val="0"/>
      <w:divBdr>
        <w:top w:val="none" w:sz="0" w:space="0" w:color="auto"/>
        <w:left w:val="none" w:sz="0" w:space="0" w:color="auto"/>
        <w:bottom w:val="none" w:sz="0" w:space="0" w:color="auto"/>
        <w:right w:val="none" w:sz="0" w:space="0" w:color="auto"/>
      </w:divBdr>
      <w:divsChild>
        <w:div w:id="140778813">
          <w:marLeft w:val="0"/>
          <w:marRight w:val="0"/>
          <w:marTop w:val="0"/>
          <w:marBottom w:val="0"/>
          <w:divBdr>
            <w:top w:val="none" w:sz="0" w:space="0" w:color="auto"/>
            <w:left w:val="none" w:sz="0" w:space="0" w:color="auto"/>
            <w:bottom w:val="none" w:sz="0" w:space="0" w:color="auto"/>
            <w:right w:val="none" w:sz="0" w:space="0" w:color="auto"/>
          </w:divBdr>
        </w:div>
      </w:divsChild>
    </w:div>
    <w:div w:id="917860942">
      <w:bodyDiv w:val="1"/>
      <w:marLeft w:val="0"/>
      <w:marRight w:val="0"/>
      <w:marTop w:val="0"/>
      <w:marBottom w:val="0"/>
      <w:divBdr>
        <w:top w:val="none" w:sz="0" w:space="0" w:color="auto"/>
        <w:left w:val="none" w:sz="0" w:space="0" w:color="auto"/>
        <w:bottom w:val="none" w:sz="0" w:space="0" w:color="auto"/>
        <w:right w:val="none" w:sz="0" w:space="0" w:color="auto"/>
      </w:divBdr>
    </w:div>
    <w:div w:id="948582541">
      <w:bodyDiv w:val="1"/>
      <w:marLeft w:val="0"/>
      <w:marRight w:val="0"/>
      <w:marTop w:val="0"/>
      <w:marBottom w:val="0"/>
      <w:divBdr>
        <w:top w:val="none" w:sz="0" w:space="0" w:color="auto"/>
        <w:left w:val="none" w:sz="0" w:space="0" w:color="auto"/>
        <w:bottom w:val="none" w:sz="0" w:space="0" w:color="auto"/>
        <w:right w:val="none" w:sz="0" w:space="0" w:color="auto"/>
      </w:divBdr>
      <w:divsChild>
        <w:div w:id="889995460">
          <w:marLeft w:val="0"/>
          <w:marRight w:val="0"/>
          <w:marTop w:val="0"/>
          <w:marBottom w:val="0"/>
          <w:divBdr>
            <w:top w:val="none" w:sz="0" w:space="0" w:color="auto"/>
            <w:left w:val="none" w:sz="0" w:space="0" w:color="auto"/>
            <w:bottom w:val="none" w:sz="0" w:space="0" w:color="auto"/>
            <w:right w:val="none" w:sz="0" w:space="0" w:color="auto"/>
          </w:divBdr>
        </w:div>
      </w:divsChild>
    </w:div>
    <w:div w:id="1017390586">
      <w:bodyDiv w:val="1"/>
      <w:marLeft w:val="0"/>
      <w:marRight w:val="0"/>
      <w:marTop w:val="0"/>
      <w:marBottom w:val="0"/>
      <w:divBdr>
        <w:top w:val="none" w:sz="0" w:space="0" w:color="auto"/>
        <w:left w:val="none" w:sz="0" w:space="0" w:color="auto"/>
        <w:bottom w:val="none" w:sz="0" w:space="0" w:color="auto"/>
        <w:right w:val="none" w:sz="0" w:space="0" w:color="auto"/>
      </w:divBdr>
    </w:div>
    <w:div w:id="1041711163">
      <w:bodyDiv w:val="1"/>
      <w:marLeft w:val="0"/>
      <w:marRight w:val="0"/>
      <w:marTop w:val="0"/>
      <w:marBottom w:val="0"/>
      <w:divBdr>
        <w:top w:val="none" w:sz="0" w:space="0" w:color="auto"/>
        <w:left w:val="none" w:sz="0" w:space="0" w:color="auto"/>
        <w:bottom w:val="none" w:sz="0" w:space="0" w:color="auto"/>
        <w:right w:val="none" w:sz="0" w:space="0" w:color="auto"/>
      </w:divBdr>
    </w:div>
    <w:div w:id="1074165390">
      <w:bodyDiv w:val="1"/>
      <w:marLeft w:val="0"/>
      <w:marRight w:val="0"/>
      <w:marTop w:val="0"/>
      <w:marBottom w:val="0"/>
      <w:divBdr>
        <w:top w:val="none" w:sz="0" w:space="0" w:color="auto"/>
        <w:left w:val="none" w:sz="0" w:space="0" w:color="auto"/>
        <w:bottom w:val="none" w:sz="0" w:space="0" w:color="auto"/>
        <w:right w:val="none" w:sz="0" w:space="0" w:color="auto"/>
      </w:divBdr>
    </w:div>
    <w:div w:id="1205170655">
      <w:bodyDiv w:val="1"/>
      <w:marLeft w:val="0"/>
      <w:marRight w:val="0"/>
      <w:marTop w:val="0"/>
      <w:marBottom w:val="0"/>
      <w:divBdr>
        <w:top w:val="none" w:sz="0" w:space="0" w:color="auto"/>
        <w:left w:val="none" w:sz="0" w:space="0" w:color="auto"/>
        <w:bottom w:val="none" w:sz="0" w:space="0" w:color="auto"/>
        <w:right w:val="none" w:sz="0" w:space="0" w:color="auto"/>
      </w:divBdr>
      <w:divsChild>
        <w:div w:id="730886140">
          <w:marLeft w:val="0"/>
          <w:marRight w:val="0"/>
          <w:marTop w:val="0"/>
          <w:marBottom w:val="0"/>
          <w:divBdr>
            <w:top w:val="none" w:sz="0" w:space="0" w:color="auto"/>
            <w:left w:val="none" w:sz="0" w:space="0" w:color="auto"/>
            <w:bottom w:val="none" w:sz="0" w:space="0" w:color="auto"/>
            <w:right w:val="none" w:sz="0" w:space="0" w:color="auto"/>
          </w:divBdr>
        </w:div>
      </w:divsChild>
    </w:div>
    <w:div w:id="1207719533">
      <w:bodyDiv w:val="1"/>
      <w:marLeft w:val="0"/>
      <w:marRight w:val="0"/>
      <w:marTop w:val="0"/>
      <w:marBottom w:val="0"/>
      <w:divBdr>
        <w:top w:val="none" w:sz="0" w:space="0" w:color="auto"/>
        <w:left w:val="none" w:sz="0" w:space="0" w:color="auto"/>
        <w:bottom w:val="none" w:sz="0" w:space="0" w:color="auto"/>
        <w:right w:val="none" w:sz="0" w:space="0" w:color="auto"/>
      </w:divBdr>
    </w:div>
    <w:div w:id="1526361982">
      <w:bodyDiv w:val="1"/>
      <w:marLeft w:val="0"/>
      <w:marRight w:val="0"/>
      <w:marTop w:val="0"/>
      <w:marBottom w:val="0"/>
      <w:divBdr>
        <w:top w:val="none" w:sz="0" w:space="0" w:color="auto"/>
        <w:left w:val="none" w:sz="0" w:space="0" w:color="auto"/>
        <w:bottom w:val="none" w:sz="0" w:space="0" w:color="auto"/>
        <w:right w:val="none" w:sz="0" w:space="0" w:color="auto"/>
      </w:divBdr>
    </w:div>
    <w:div w:id="1592932854">
      <w:bodyDiv w:val="1"/>
      <w:marLeft w:val="0"/>
      <w:marRight w:val="0"/>
      <w:marTop w:val="0"/>
      <w:marBottom w:val="0"/>
      <w:divBdr>
        <w:top w:val="none" w:sz="0" w:space="0" w:color="auto"/>
        <w:left w:val="none" w:sz="0" w:space="0" w:color="auto"/>
        <w:bottom w:val="none" w:sz="0" w:space="0" w:color="auto"/>
        <w:right w:val="none" w:sz="0" w:space="0" w:color="auto"/>
      </w:divBdr>
      <w:divsChild>
        <w:div w:id="1400860796">
          <w:marLeft w:val="0"/>
          <w:marRight w:val="0"/>
          <w:marTop w:val="0"/>
          <w:marBottom w:val="0"/>
          <w:divBdr>
            <w:top w:val="none" w:sz="0" w:space="0" w:color="auto"/>
            <w:left w:val="none" w:sz="0" w:space="0" w:color="auto"/>
            <w:bottom w:val="none" w:sz="0" w:space="0" w:color="auto"/>
            <w:right w:val="none" w:sz="0" w:space="0" w:color="auto"/>
          </w:divBdr>
        </w:div>
      </w:divsChild>
    </w:div>
    <w:div w:id="1611861303">
      <w:bodyDiv w:val="1"/>
      <w:marLeft w:val="0"/>
      <w:marRight w:val="0"/>
      <w:marTop w:val="0"/>
      <w:marBottom w:val="0"/>
      <w:divBdr>
        <w:top w:val="none" w:sz="0" w:space="0" w:color="auto"/>
        <w:left w:val="none" w:sz="0" w:space="0" w:color="auto"/>
        <w:bottom w:val="none" w:sz="0" w:space="0" w:color="auto"/>
        <w:right w:val="none" w:sz="0" w:space="0" w:color="auto"/>
      </w:divBdr>
    </w:div>
    <w:div w:id="173763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ee.fr/fr/statistiques/6656459" TargetMode="External"/><Relationship Id="rId18" Type="http://schemas.openxmlformats.org/officeDocument/2006/relationships/hyperlink" Target="https://www.europe-en-france.gouv.fr/fr/projets/bus-itinerant-pedagogique-en-sambre-avesnois-thierache" TargetMode="External"/><Relationship Id="rId26" Type="http://schemas.openxmlformats.org/officeDocument/2006/relationships/hyperlink" Target="https://encyclopedie.wikiterritorial.cnfpt.fr/xwiki/bin/view/fiches/L%27Etat%20garant%20de%20la%20solidarit%C3%A9%20nationale/" TargetMode="External"/><Relationship Id="rId3" Type="http://schemas.openxmlformats.org/officeDocument/2006/relationships/styles" Target="styles.xml"/><Relationship Id="rId21" Type="http://schemas.openxmlformats.org/officeDocument/2006/relationships/hyperlink" Target="https://www.legifrance.gouv.fr/codes/article_lc/LEGIARTI000043895868"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anct-site-prod.s3.fr-par.scw.cloud/2025-02/perimetre_des_territoires_dindustrie_2023-2027_high_0.png" TargetMode="External"/><Relationship Id="rId17" Type="http://schemas.openxmlformats.org/officeDocument/2006/relationships/hyperlink" Target="https://www.etincelle-ecoledeproduction.fr/" TargetMode="External"/><Relationship Id="rId25" Type="http://schemas.openxmlformats.org/officeDocument/2006/relationships/hyperlink" Target="https://www.franceinfo.fr/societe/infographies-racisme-sexisme-islamophobie-le-sentiment-de-discrimination-augmente-en-france-surtout-chez-les-femmes_5237356.html" TargetMode="External"/><Relationship Id="rId33" Type="http://schemas.openxmlformats.org/officeDocument/2006/relationships/hyperlink" Target="https://www.conseil-constitutionnel.fr/decision/2021/2021818DC.htm" TargetMode="External"/><Relationship Id="rId2" Type="http://schemas.openxmlformats.org/officeDocument/2006/relationships/numbering" Target="numbering.xml"/><Relationship Id="rId16" Type="http://schemas.openxmlformats.org/officeDocument/2006/relationships/hyperlink" Target="https://groupe-cdc-habitat.com/actualites/cdc-habitat-lance-la-renovation-de-77-logements-du-familistere-de-guise/" TargetMode="External"/><Relationship Id="rId20" Type="http://schemas.openxmlformats.org/officeDocument/2006/relationships/hyperlink" Target="https://info.lenord.fr/facilitez-vos-demarches-administratives-avec-le-camion-bleu-" TargetMode="External"/><Relationship Id="rId29" Type="http://schemas.openxmlformats.org/officeDocument/2006/relationships/hyperlink" Target="https://france3-regions.franceinfo.fr/occitanie/pyrenees-orientales/perpignan/l-usage-du-catalan-interdit-dans-les-conseils-municipaux-la-justice-donne-raison-au-prefet-des-pyrenees-orientales-2769318.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efectures-regions.gouv.fr/hauts-de-france/hauts-de-france/hauts-de-france/Region-et-institutions/L-action-de-l-Etat-dans-la-region/Amenagement-du-territoire-logement-transport-et-infrastructures/Pacte-pour-la-reussite-de-la-Sambre-Avesnois-Thierache/Les-actions-du-pacte-SAT/Premier-bilan-de-l-acte-II-du-Pacte-pour-la-reussite-de-la-Sambre-Avesnois-Thierache" TargetMode="External"/><Relationship Id="rId24" Type="http://schemas.openxmlformats.org/officeDocument/2006/relationships/hyperlink" Target="https://www.cncdh.fr/actualite/lutte-contre-le-racisme-lantisemitisme-et-la-xenophobie-la-cncdh-publie-son-rapport-2024" TargetMode="External"/><Relationship Id="rId32" Type="http://schemas.openxmlformats.org/officeDocument/2006/relationships/hyperlink" Target="https://www.vie-publique.fr/loi/278001-loi-sur-les-langues-regionales-loi-molac" TargetMode="External"/><Relationship Id="rId5" Type="http://schemas.openxmlformats.org/officeDocument/2006/relationships/webSettings" Target="webSettings.xml"/><Relationship Id="rId15" Type="http://schemas.openxmlformats.org/officeDocument/2006/relationships/hyperlink" Target="https://www.prefectures-regions.gouv.fr/hauts-de-france/irecontenu/telechargement/102890/652987/file/0602-DP-Pacte%20SAT%20VF.pdf" TargetMode="External"/><Relationship Id="rId23" Type="http://schemas.openxmlformats.org/officeDocument/2006/relationships/hyperlink" Target="https://www.justice.gouv.fr/documentation/etudes-et-statistiques/infractions-caractere-raciste-predominance-linjure-publique" TargetMode="External"/><Relationship Id="rId28" Type="http://schemas.openxmlformats.org/officeDocument/2006/relationships/hyperlink" Target="https://www.vie-publique.fr/fiches/24109-quest-ce-que-la-protection-sociale"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youtube.com/watch?v=nouLVYy4OvQ" TargetMode="External"/><Relationship Id="rId31" Type="http://schemas.openxmlformats.org/officeDocument/2006/relationships/hyperlink" Target="https://www.vie-publique.fr/eclairage/38438-les-lois-defferre-premieres-lois-de-decentralisation"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nord.gouv.fr/contenu/telechargement/65231/406825/file/Dossier%20de%20presse%20-%20Pacte%20SAT.pdf" TargetMode="External"/><Relationship Id="rId22" Type="http://schemas.openxmlformats.org/officeDocument/2006/relationships/hyperlink" Target="https://www.interieur.gouv.fr/actualites/communiques-de-presse/atteintes-a-caractere-raciste-xenophobe-ou-antireligieux-en-2024" TargetMode="External"/><Relationship Id="rId27" Type="http://schemas.openxmlformats.org/officeDocument/2006/relationships/hyperlink" Target="https://solidarites.gouv.fr/" TargetMode="External"/><Relationship Id="rId30" Type="http://schemas.openxmlformats.org/officeDocument/2006/relationships/hyperlink" Target="https://www.education.gouv.fr/media/90017/download" TargetMode="External"/><Relationship Id="rId35" Type="http://schemas.openxmlformats.org/officeDocument/2006/relationships/fontTable" Target="fontTable.xml"/><Relationship Id="rId8" Type="http://schemas.openxmlformats.org/officeDocument/2006/relationships/hyperlink" Target="https://www.lecese.fr/decouvrir-cese/cese-en-bre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justice.gouv.fr/documentation/etudes-et-statistiques/infractions-caractere-raciste-predominance-linjure-publique" TargetMode="External"/><Relationship Id="rId2" Type="http://schemas.openxmlformats.org/officeDocument/2006/relationships/hyperlink" Target="https://www.service-public.fr/particuliers/vosdroits/F35455" TargetMode="External"/><Relationship Id="rId1" Type="http://schemas.openxmlformats.org/officeDocument/2006/relationships/hyperlink" Target="https://www.legifrance.gouv.fr/codes/article_lc/LEGIARTI00004389586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F94BB-1EBB-47EA-9384-916153710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4093</Words>
  <Characters>22515</Characters>
  <Application>Microsoft Office Word</Application>
  <DocSecurity>0</DocSecurity>
  <Lines>187</Lines>
  <Paragraphs>53</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26555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dc:creator>
  <cp:keywords/>
  <dc:description/>
  <cp:lastModifiedBy>THIBAULT LEROY</cp:lastModifiedBy>
  <cp:revision>4</cp:revision>
  <dcterms:created xsi:type="dcterms:W3CDTF">2026-01-15T15:35:00Z</dcterms:created>
  <dcterms:modified xsi:type="dcterms:W3CDTF">2026-01-19T11:22:00Z</dcterms:modified>
</cp:coreProperties>
</file>